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 w:val="0"/>
        <w:autoSpaceDN w:val="0"/>
        <w:bidi w:val="0"/>
        <w:spacing w:after="156" w:afterLines="50" w:line="240" w:lineRule="atLeast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4"/>
        </w:rPr>
        <w:t>安徽省技术先进型服务企业汇总表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 w:val="0"/>
        <w:autoSpaceDN w:val="0"/>
        <w:bidi w:val="0"/>
        <w:spacing w:after="156" w:afterLines="50" w:line="240" w:lineRule="atLeast"/>
        <w:ind w:left="11" w:leftChars="-337" w:hanging="719" w:hangingChars="358"/>
        <w:rPr>
          <w:rFonts w:ascii="宋体" w:hAnsi="宋体"/>
          <w:b/>
          <w:sz w:val="20"/>
        </w:rPr>
      </w:pPr>
      <w:r>
        <w:rPr>
          <w:rFonts w:hint="eastAsia" w:ascii="宋体" w:hAnsi="宋体"/>
          <w:b/>
          <w:sz w:val="20"/>
        </w:rPr>
        <w:t>市科技、商务、财政、税务和发展改革部门盖章：</w:t>
      </w:r>
    </w:p>
    <w:tbl>
      <w:tblPr>
        <w:tblStyle w:val="6"/>
        <w:tblW w:w="15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21"/>
        <w:gridCol w:w="990"/>
        <w:gridCol w:w="939"/>
        <w:gridCol w:w="996"/>
        <w:gridCol w:w="900"/>
        <w:gridCol w:w="900"/>
        <w:gridCol w:w="708"/>
        <w:gridCol w:w="902"/>
        <w:gridCol w:w="819"/>
        <w:gridCol w:w="819"/>
        <w:gridCol w:w="818"/>
        <w:gridCol w:w="2075"/>
        <w:gridCol w:w="1295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企业从事技术先进型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服务业务范围</w:t>
            </w:r>
          </w:p>
        </w:tc>
        <w:tc>
          <w:tcPr>
            <w:tcW w:w="49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企业上年度经营情况</w:t>
            </w: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企业设立研发机构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及创新载体情况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具有大专以上学历员工占企业职工总数的比例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所在市、县（市、区）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30" w:right="-63" w:rightChars="-30" w:hanging="62" w:hangingChars="31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信息技术外包服务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30" w:right="-63" w:rightChars="-30" w:hanging="62" w:hangingChars="31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(ITO)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2" w:leftChars="-19" w:right="-107" w:rightChars="-51" w:hanging="38" w:hangingChars="19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技术性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2" w:leftChars="-19" w:right="-107" w:rightChars="-51" w:hanging="38" w:hangingChars="19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业务流程外包服务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(BPO)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2" w:leftChars="-19" w:right="-107" w:rightChars="-51" w:hanging="38" w:hangingChars="19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技术性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2" w:leftChars="-19" w:right="-107" w:rightChars="-51" w:hanging="38" w:hangingChars="19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知识流程外包服务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2" w:leftChars="-19" w:right="-107" w:rightChars="-51" w:hanging="38" w:hangingChars="19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(KPO)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2" w:leftChars="-19" w:right="-107" w:rightChars="-51" w:hanging="38" w:hangingChars="19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服务贸易类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总收入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(万元)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1" w:right="-118" w:rightChars="-56" w:hanging="106" w:hangingChars="53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技术先进型服务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离岸外包服务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u w:val="single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9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9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48" w:right="-178" w:rightChars="-85" w:hanging="100" w:hangingChars="50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1" w:right="-120" w:rightChars="-57" w:hanging="106" w:hangingChars="53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1" w:right="-120" w:rightChars="-57" w:hanging="106" w:hangingChars="53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1" w:right="-120" w:rightChars="-57" w:hanging="106" w:hangingChars="53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(万元)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收入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占总收入比重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(%)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8" w:right="-8" w:rightChars="-4" w:hanging="16" w:hangingChars="8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8" w:right="-8" w:rightChars="-4" w:hanging="16" w:hangingChars="8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8" w:right="-8" w:rightChars="-4" w:hanging="16" w:hangingChars="8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(万元)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5" w:right="-181" w:rightChars="-86" w:hanging="114" w:hangingChars="57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收入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5" w:right="-181" w:rightChars="-86" w:hanging="114" w:hangingChars="57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总收入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5" w:right="-181" w:rightChars="-86" w:hanging="114" w:hangingChars="57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比重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5" w:right="-181" w:rightChars="-86" w:hanging="114" w:hangingChars="57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(%)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46" w:right="-197" w:rightChars="-94" w:hanging="96" w:hangingChars="48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46" w:right="-214" w:rightChars="-102" w:hanging="96" w:hangingChars="48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执行额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ind w:left="-1" w:leftChars="-55" w:right="-181" w:rightChars="-86" w:hanging="114" w:hangingChars="57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(万美元)</w:t>
            </w:r>
          </w:p>
        </w:tc>
        <w:tc>
          <w:tcPr>
            <w:tcW w:w="2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u w:val="single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FF0000"/>
                <w:kern w:val="0"/>
                <w:sz w:val="22"/>
                <w:highlight w:val="yellow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ascii="宋体" w:hAnsi="宋体" w:cs="宋体"/>
                <w:kern w:val="0"/>
                <w:sz w:val="22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312" w:beforeLines="100"/>
        <w:rPr>
          <w:rFonts w:ascii="Times New Roman" w:hAnsi="Times New Roman" w:eastAsia="仿宋"/>
          <w:sz w:val="24"/>
        </w:rPr>
      </w:pPr>
      <w:r>
        <w:rPr>
          <w:rFonts w:hint="eastAsia"/>
        </w:rPr>
        <w:t>注：企业从事技术先进型服务业务范围在对应空格内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</w:pPr>
    </w:p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</w:pP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76250" cy="14795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37.5pt;mso-position-horizontal:center;mso-position-horizontal-relative:margin;z-index:251659264;mso-width-relative:page;mso-height-relative:page;" filled="f" stroked="f" coordsize="21600,21600" o:gfxdata="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lI6bbSAAAAAwEAAA8AAAAAAAAAAQAgAAAA&#10;IgAAAGRycy9kb3ducmV2LnhtbFBLAQIUABQAAAAIAIdO4kBknSBoEQIAABIEAAAOAAAAAAAAAAEA&#10;IAAAACE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mRhNmE0NmEzNDMxMTIyOGUyMTY0MWE5MDhhMWEifQ=="/>
  </w:docVars>
  <w:rsids>
    <w:rsidRoot w:val="0C193EB2"/>
    <w:rsid w:val="0C19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rFonts w:ascii="Calibri" w:hAnsi="Calibri"/>
      <w:szCs w:val="2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2024-08-21T13:26:00Z</dcterms:created>
  <dc:creator>何玉清</dc:creator>
  <cp:lastModifiedBy>何玉清</cp:lastModifiedBy>
  <dcterms:modified xsi:type="dcterms:W3CDTF">2024-08-21T13:26:48Z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3451482FA96946319167257FD4940DA2_11</vt:lpwstr>
  </property>
</Properties>
</file>