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before="240" w:beforeLines="100" w:line="440" w:lineRule="exact"/>
        <w:ind w:firstLine="160" w:firstLineChars="50"/>
        <w:jc w:val="left"/>
        <w:rPr>
          <w:rFonts w:eastAsia="黑体"/>
          <w:sz w:val="32"/>
          <w:szCs w:val="32"/>
        </w:rPr>
      </w:pPr>
      <w:bookmarkStart w:id="0" w:name="_GoBack"/>
      <w:bookmarkEnd w:id="0"/>
      <w:r>
        <w:rPr>
          <w:rFonts w:eastAsia="黑体"/>
          <w:sz w:val="32"/>
          <w:szCs w:val="32"/>
        </w:rPr>
        <w:t>附件1</w:t>
      </w:r>
    </w:p>
    <w:p>
      <w:pPr>
        <w:overflowPunct w:val="0"/>
        <w:topLinePunct/>
        <w:adjustRightInd w:val="0"/>
        <w:spacing w:line="580" w:lineRule="exact"/>
        <w:rPr>
          <w:rFonts w:eastAsia="仿宋_GB2312"/>
          <w:sz w:val="32"/>
          <w:szCs w:val="32"/>
        </w:rPr>
      </w:pPr>
    </w:p>
    <w:p>
      <w:pPr>
        <w:overflowPunct w:val="0"/>
        <w:topLinePunct/>
        <w:adjustRightInd w:val="0"/>
        <w:spacing w:line="580" w:lineRule="exact"/>
        <w:jc w:val="center"/>
        <w:rPr>
          <w:rFonts w:eastAsia="方正小标宋简体"/>
          <w:kern w:val="0"/>
          <w:sz w:val="44"/>
          <w:szCs w:val="44"/>
        </w:rPr>
      </w:pPr>
      <w:r>
        <w:rPr>
          <w:rFonts w:eastAsia="方正小标宋简体"/>
          <w:kern w:val="0"/>
          <w:sz w:val="44"/>
          <w:szCs w:val="44"/>
        </w:rPr>
        <w:t>202</w:t>
      </w:r>
      <w:r>
        <w:rPr>
          <w:rFonts w:hint="eastAsia" w:eastAsia="方正小标宋简体"/>
          <w:kern w:val="0"/>
          <w:sz w:val="44"/>
          <w:szCs w:val="44"/>
        </w:rPr>
        <w:t>4</w:t>
      </w:r>
      <w:r>
        <w:rPr>
          <w:rFonts w:eastAsia="方正小标宋简体"/>
          <w:kern w:val="0"/>
          <w:sz w:val="44"/>
          <w:szCs w:val="44"/>
        </w:rPr>
        <w:t>年淮北市绿色工厂推荐汇总表</w:t>
      </w:r>
    </w:p>
    <w:p>
      <w:pPr>
        <w:overflowPunct w:val="0"/>
        <w:topLinePunct/>
        <w:adjustRightInd w:val="0"/>
        <w:spacing w:line="580" w:lineRule="exact"/>
        <w:rPr>
          <w:rFonts w:eastAsia="黑体"/>
          <w:kern w:val="0"/>
          <w:sz w:val="40"/>
          <w:szCs w:val="40"/>
        </w:rPr>
      </w:pPr>
    </w:p>
    <w:p>
      <w:pPr>
        <w:overflowPunct w:val="0"/>
        <w:topLinePunct/>
        <w:adjustRightInd w:val="0"/>
        <w:spacing w:line="580" w:lineRule="exact"/>
        <w:ind w:firstLine="110" w:firstLineChars="50"/>
        <w:rPr>
          <w:rFonts w:eastAsia="仿宋_GB2312"/>
          <w:sz w:val="22"/>
        </w:rPr>
      </w:pPr>
      <w:r>
        <w:rPr>
          <w:rFonts w:eastAsia="黑体"/>
          <w:kern w:val="0"/>
          <w:sz w:val="22"/>
        </w:rPr>
        <w:t>推荐单位：</w:t>
      </w:r>
    </w:p>
    <w:tbl>
      <w:tblPr>
        <w:tblStyle w:val="15"/>
        <w:tblW w:w="0" w:type="auto"/>
        <w:jc w:val="center"/>
        <w:tblLayout w:type="fixed"/>
        <w:tblCellMar>
          <w:top w:w="0" w:type="dxa"/>
          <w:left w:w="108" w:type="dxa"/>
          <w:bottom w:w="0" w:type="dxa"/>
          <w:right w:w="108" w:type="dxa"/>
        </w:tblCellMar>
      </w:tblPr>
      <w:tblGrid>
        <w:gridCol w:w="735"/>
        <w:gridCol w:w="1505"/>
        <w:gridCol w:w="3535"/>
        <w:gridCol w:w="3060"/>
      </w:tblGrid>
      <w:tr>
        <w:tblPrEx>
          <w:tblCellMar>
            <w:top w:w="0" w:type="dxa"/>
            <w:left w:w="108" w:type="dxa"/>
            <w:bottom w:w="0" w:type="dxa"/>
            <w:right w:w="108" w:type="dxa"/>
          </w:tblCellMar>
        </w:tblPrEx>
        <w:trPr>
          <w:trHeight w:val="58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eastAsia="黑体"/>
                <w:kern w:val="0"/>
                <w:sz w:val="24"/>
              </w:rPr>
            </w:pPr>
            <w:r>
              <w:rPr>
                <w:rFonts w:eastAsia="黑体"/>
                <w:kern w:val="0"/>
                <w:sz w:val="24"/>
              </w:rPr>
              <w:t>序号</w:t>
            </w:r>
          </w:p>
        </w:tc>
        <w:tc>
          <w:tcPr>
            <w:tcW w:w="1505" w:type="dxa"/>
            <w:tcBorders>
              <w:top w:val="single" w:color="auto" w:sz="4" w:space="0"/>
              <w:left w:val="nil"/>
              <w:bottom w:val="single" w:color="auto" w:sz="4" w:space="0"/>
              <w:right w:val="single" w:color="auto" w:sz="4" w:space="0"/>
            </w:tcBorders>
            <w:vAlign w:val="center"/>
          </w:tcPr>
          <w:p>
            <w:pPr>
              <w:overflowPunct w:val="0"/>
              <w:topLinePunct/>
              <w:spacing w:line="400" w:lineRule="exact"/>
              <w:jc w:val="center"/>
              <w:rPr>
                <w:rFonts w:eastAsia="黑体"/>
                <w:kern w:val="0"/>
                <w:sz w:val="24"/>
              </w:rPr>
            </w:pPr>
            <w:r>
              <w:rPr>
                <w:rFonts w:eastAsia="黑体"/>
                <w:kern w:val="0"/>
                <w:sz w:val="24"/>
              </w:rPr>
              <w:t>县区</w:t>
            </w:r>
          </w:p>
        </w:tc>
        <w:tc>
          <w:tcPr>
            <w:tcW w:w="3535" w:type="dxa"/>
            <w:tcBorders>
              <w:top w:val="single" w:color="auto" w:sz="4" w:space="0"/>
              <w:left w:val="nil"/>
              <w:bottom w:val="single" w:color="auto" w:sz="4" w:space="0"/>
              <w:right w:val="single" w:color="auto" w:sz="4" w:space="0"/>
            </w:tcBorders>
            <w:vAlign w:val="center"/>
          </w:tcPr>
          <w:p>
            <w:pPr>
              <w:overflowPunct w:val="0"/>
              <w:topLinePunct/>
              <w:spacing w:line="400" w:lineRule="exact"/>
              <w:jc w:val="center"/>
              <w:rPr>
                <w:rFonts w:eastAsia="黑体"/>
                <w:kern w:val="0"/>
                <w:sz w:val="24"/>
              </w:rPr>
            </w:pPr>
            <w:r>
              <w:rPr>
                <w:rFonts w:eastAsia="黑体"/>
                <w:kern w:val="0"/>
                <w:sz w:val="24"/>
              </w:rPr>
              <w:t>企业名称</w:t>
            </w:r>
          </w:p>
        </w:tc>
        <w:tc>
          <w:tcPr>
            <w:tcW w:w="3060" w:type="dxa"/>
            <w:tcBorders>
              <w:top w:val="single" w:color="auto" w:sz="4" w:space="0"/>
              <w:left w:val="nil"/>
              <w:bottom w:val="single" w:color="auto" w:sz="4" w:space="0"/>
              <w:right w:val="single" w:color="auto" w:sz="4" w:space="0"/>
            </w:tcBorders>
            <w:vAlign w:val="center"/>
          </w:tcPr>
          <w:p>
            <w:pPr>
              <w:overflowPunct w:val="0"/>
              <w:topLinePunct/>
              <w:spacing w:line="400" w:lineRule="exact"/>
              <w:jc w:val="center"/>
              <w:rPr>
                <w:rFonts w:eastAsia="黑体"/>
                <w:kern w:val="0"/>
                <w:sz w:val="24"/>
              </w:rPr>
            </w:pPr>
            <w:r>
              <w:rPr>
                <w:rFonts w:eastAsia="黑体"/>
                <w:kern w:val="0"/>
                <w:sz w:val="24"/>
              </w:rPr>
              <w:t>所属行业</w:t>
            </w:r>
          </w:p>
        </w:tc>
      </w:tr>
      <w:tr>
        <w:tblPrEx>
          <w:tblCellMar>
            <w:top w:w="0" w:type="dxa"/>
            <w:left w:w="108" w:type="dxa"/>
            <w:bottom w:w="0" w:type="dxa"/>
            <w:right w:w="108" w:type="dxa"/>
          </w:tblCellMar>
        </w:tblPrEx>
        <w:trPr>
          <w:trHeight w:val="615" w:hRule="atLeast"/>
          <w:jc w:val="center"/>
        </w:trPr>
        <w:tc>
          <w:tcPr>
            <w:tcW w:w="735" w:type="dxa"/>
            <w:tcBorders>
              <w:top w:val="nil"/>
              <w:left w:val="single" w:color="auto" w:sz="4" w:space="0"/>
              <w:bottom w:val="single" w:color="auto" w:sz="4" w:space="0"/>
              <w:right w:val="single" w:color="auto" w:sz="4" w:space="0"/>
            </w:tcBorders>
            <w:vAlign w:val="center"/>
          </w:tcPr>
          <w:p>
            <w:pPr>
              <w:overflowPunct w:val="0"/>
              <w:topLinePunct/>
              <w:spacing w:line="400" w:lineRule="exact"/>
              <w:jc w:val="center"/>
              <w:rPr>
                <w:kern w:val="0"/>
                <w:sz w:val="24"/>
              </w:rPr>
            </w:pPr>
            <w:r>
              <w:rPr>
                <w:kern w:val="0"/>
                <w:sz w:val="24"/>
              </w:rPr>
              <w:t>1</w:t>
            </w:r>
          </w:p>
        </w:tc>
        <w:tc>
          <w:tcPr>
            <w:tcW w:w="1505" w:type="dxa"/>
            <w:tcBorders>
              <w:top w:val="nil"/>
              <w:left w:val="nil"/>
              <w:bottom w:val="single" w:color="auto" w:sz="4" w:space="0"/>
              <w:right w:val="single" w:color="auto" w:sz="4" w:space="0"/>
            </w:tcBorders>
            <w:vAlign w:val="center"/>
          </w:tcPr>
          <w:p>
            <w:pPr>
              <w:overflowPunct w:val="0"/>
              <w:topLinePunct/>
              <w:spacing w:line="400" w:lineRule="exact"/>
              <w:jc w:val="center"/>
              <w:rPr>
                <w:kern w:val="0"/>
                <w:sz w:val="24"/>
              </w:rPr>
            </w:pPr>
          </w:p>
        </w:tc>
        <w:tc>
          <w:tcPr>
            <w:tcW w:w="353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xml:space="preserve"> </w:t>
            </w:r>
          </w:p>
        </w:tc>
        <w:tc>
          <w:tcPr>
            <w:tcW w:w="3060"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xml:space="preserve"> </w:t>
            </w:r>
          </w:p>
        </w:tc>
      </w:tr>
      <w:tr>
        <w:tblPrEx>
          <w:tblCellMar>
            <w:top w:w="0" w:type="dxa"/>
            <w:left w:w="108" w:type="dxa"/>
            <w:bottom w:w="0" w:type="dxa"/>
            <w:right w:w="108" w:type="dxa"/>
          </w:tblCellMar>
        </w:tblPrEx>
        <w:trPr>
          <w:trHeight w:val="615" w:hRule="atLeast"/>
          <w:jc w:val="center"/>
        </w:trPr>
        <w:tc>
          <w:tcPr>
            <w:tcW w:w="735" w:type="dxa"/>
            <w:tcBorders>
              <w:top w:val="nil"/>
              <w:left w:val="single" w:color="auto" w:sz="4" w:space="0"/>
              <w:bottom w:val="single" w:color="auto" w:sz="4" w:space="0"/>
              <w:right w:val="single" w:color="auto" w:sz="4" w:space="0"/>
            </w:tcBorders>
            <w:vAlign w:val="center"/>
          </w:tcPr>
          <w:p>
            <w:pPr>
              <w:overflowPunct w:val="0"/>
              <w:topLinePunct/>
              <w:spacing w:line="400" w:lineRule="exact"/>
              <w:jc w:val="center"/>
              <w:rPr>
                <w:kern w:val="0"/>
                <w:sz w:val="24"/>
              </w:rPr>
            </w:pPr>
            <w:r>
              <w:rPr>
                <w:kern w:val="0"/>
                <w:sz w:val="24"/>
              </w:rPr>
              <w:t>2</w:t>
            </w:r>
          </w:p>
        </w:tc>
        <w:tc>
          <w:tcPr>
            <w:tcW w:w="150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53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060"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r>
      <w:tr>
        <w:trPr>
          <w:trHeight w:val="615" w:hRule="atLeast"/>
          <w:jc w:val="center"/>
        </w:trPr>
        <w:tc>
          <w:tcPr>
            <w:tcW w:w="735" w:type="dxa"/>
            <w:tcBorders>
              <w:top w:val="nil"/>
              <w:left w:val="single" w:color="auto" w:sz="4" w:space="0"/>
              <w:bottom w:val="single" w:color="auto" w:sz="4" w:space="0"/>
              <w:right w:val="single" w:color="auto" w:sz="4" w:space="0"/>
            </w:tcBorders>
            <w:vAlign w:val="center"/>
          </w:tcPr>
          <w:p>
            <w:pPr>
              <w:overflowPunct w:val="0"/>
              <w:topLinePunct/>
              <w:spacing w:line="400" w:lineRule="exact"/>
              <w:jc w:val="center"/>
              <w:rPr>
                <w:kern w:val="0"/>
                <w:sz w:val="24"/>
              </w:rPr>
            </w:pPr>
            <w:r>
              <w:rPr>
                <w:kern w:val="0"/>
                <w:sz w:val="24"/>
              </w:rPr>
              <w:t>3</w:t>
            </w:r>
          </w:p>
        </w:tc>
        <w:tc>
          <w:tcPr>
            <w:tcW w:w="150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53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060"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r>
      <w:tr>
        <w:tblPrEx>
          <w:tblCellMar>
            <w:top w:w="0" w:type="dxa"/>
            <w:left w:w="108" w:type="dxa"/>
            <w:bottom w:w="0" w:type="dxa"/>
            <w:right w:w="108" w:type="dxa"/>
          </w:tblCellMar>
        </w:tblPrEx>
        <w:trPr>
          <w:trHeight w:val="615" w:hRule="atLeast"/>
          <w:jc w:val="center"/>
        </w:trPr>
        <w:tc>
          <w:tcPr>
            <w:tcW w:w="735" w:type="dxa"/>
            <w:tcBorders>
              <w:top w:val="nil"/>
              <w:left w:val="single" w:color="auto" w:sz="4" w:space="0"/>
              <w:bottom w:val="single" w:color="auto" w:sz="4" w:space="0"/>
              <w:right w:val="single" w:color="auto" w:sz="4" w:space="0"/>
            </w:tcBorders>
            <w:vAlign w:val="center"/>
          </w:tcPr>
          <w:p>
            <w:pPr>
              <w:overflowPunct w:val="0"/>
              <w:topLinePunct/>
              <w:spacing w:line="400" w:lineRule="exact"/>
              <w:jc w:val="center"/>
              <w:rPr>
                <w:kern w:val="0"/>
                <w:sz w:val="24"/>
              </w:rPr>
            </w:pPr>
            <w:r>
              <w:rPr>
                <w:kern w:val="0"/>
                <w:sz w:val="24"/>
              </w:rPr>
              <w:t>4</w:t>
            </w:r>
          </w:p>
        </w:tc>
        <w:tc>
          <w:tcPr>
            <w:tcW w:w="150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53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060"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r>
      <w:tr>
        <w:tblPrEx>
          <w:tblCellMar>
            <w:top w:w="0" w:type="dxa"/>
            <w:left w:w="108" w:type="dxa"/>
            <w:bottom w:w="0" w:type="dxa"/>
            <w:right w:w="108" w:type="dxa"/>
          </w:tblCellMar>
        </w:tblPrEx>
        <w:trPr>
          <w:trHeight w:val="615" w:hRule="atLeast"/>
          <w:jc w:val="center"/>
        </w:trPr>
        <w:tc>
          <w:tcPr>
            <w:tcW w:w="735" w:type="dxa"/>
            <w:tcBorders>
              <w:top w:val="nil"/>
              <w:left w:val="single" w:color="auto" w:sz="4" w:space="0"/>
              <w:bottom w:val="single" w:color="auto" w:sz="4" w:space="0"/>
              <w:right w:val="single" w:color="auto" w:sz="4" w:space="0"/>
            </w:tcBorders>
            <w:vAlign w:val="center"/>
          </w:tcPr>
          <w:p>
            <w:pPr>
              <w:overflowPunct w:val="0"/>
              <w:topLinePunct/>
              <w:spacing w:line="400" w:lineRule="exact"/>
              <w:jc w:val="center"/>
              <w:rPr>
                <w:kern w:val="0"/>
                <w:sz w:val="24"/>
              </w:rPr>
            </w:pPr>
            <w:r>
              <w:rPr>
                <w:kern w:val="0"/>
                <w:sz w:val="24"/>
              </w:rPr>
              <w:t>5</w:t>
            </w:r>
          </w:p>
        </w:tc>
        <w:tc>
          <w:tcPr>
            <w:tcW w:w="150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53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060"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r>
      <w:tr>
        <w:tblPrEx>
          <w:tblCellMar>
            <w:top w:w="0" w:type="dxa"/>
            <w:left w:w="108" w:type="dxa"/>
            <w:bottom w:w="0" w:type="dxa"/>
            <w:right w:w="108" w:type="dxa"/>
          </w:tblCellMar>
        </w:tblPrEx>
        <w:trPr>
          <w:trHeight w:val="615" w:hRule="atLeast"/>
          <w:jc w:val="center"/>
        </w:trPr>
        <w:tc>
          <w:tcPr>
            <w:tcW w:w="735" w:type="dxa"/>
            <w:tcBorders>
              <w:top w:val="nil"/>
              <w:left w:val="single" w:color="auto" w:sz="4" w:space="0"/>
              <w:bottom w:val="single" w:color="auto" w:sz="4" w:space="0"/>
              <w:right w:val="single" w:color="auto" w:sz="4" w:space="0"/>
            </w:tcBorders>
            <w:vAlign w:val="center"/>
          </w:tcPr>
          <w:p>
            <w:pPr>
              <w:overflowPunct w:val="0"/>
              <w:topLinePunct/>
              <w:spacing w:line="400" w:lineRule="exact"/>
              <w:jc w:val="center"/>
              <w:rPr>
                <w:kern w:val="0"/>
                <w:sz w:val="24"/>
              </w:rPr>
            </w:pPr>
            <w:r>
              <w:rPr>
                <w:kern w:val="0"/>
                <w:sz w:val="24"/>
              </w:rPr>
              <w:t>……</w:t>
            </w:r>
          </w:p>
        </w:tc>
        <w:tc>
          <w:tcPr>
            <w:tcW w:w="150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535"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c>
          <w:tcPr>
            <w:tcW w:w="3060" w:type="dxa"/>
            <w:tcBorders>
              <w:top w:val="nil"/>
              <w:left w:val="nil"/>
              <w:bottom w:val="single" w:color="auto" w:sz="4" w:space="0"/>
              <w:right w:val="single" w:color="auto" w:sz="4" w:space="0"/>
            </w:tcBorders>
            <w:vAlign w:val="center"/>
          </w:tcPr>
          <w:p>
            <w:pPr>
              <w:overflowPunct w:val="0"/>
              <w:topLinePunct/>
              <w:spacing w:line="400" w:lineRule="exact"/>
              <w:rPr>
                <w:kern w:val="0"/>
                <w:sz w:val="24"/>
              </w:rPr>
            </w:pPr>
            <w:r>
              <w:rPr>
                <w:kern w:val="0"/>
                <w:sz w:val="24"/>
              </w:rPr>
              <w:t>　</w:t>
            </w:r>
          </w:p>
        </w:tc>
      </w:tr>
    </w:tbl>
    <w:p>
      <w:pPr>
        <w:overflowPunct w:val="0"/>
        <w:topLinePunct/>
        <w:spacing w:line="580" w:lineRule="exact"/>
        <w:rPr>
          <w:rFonts w:eastAsia="仿宋_GB2312"/>
          <w:sz w:val="28"/>
          <w:szCs w:val="28"/>
        </w:rPr>
      </w:pPr>
    </w:p>
    <w:p>
      <w:pPr>
        <w:overflowPunct w:val="0"/>
        <w:topLinePunct/>
        <w:spacing w:line="580" w:lineRule="exact"/>
        <w:rPr>
          <w:rFonts w:eastAsia="黑体"/>
          <w:snapToGrid w:val="0"/>
          <w:sz w:val="32"/>
          <w:szCs w:val="32"/>
        </w:rPr>
      </w:pPr>
      <w:r>
        <w:rPr>
          <w:rFonts w:eastAsia="仿宋_GB2312"/>
          <w:sz w:val="28"/>
          <w:szCs w:val="28"/>
        </w:rPr>
        <w:br w:type="page"/>
      </w:r>
      <w:r>
        <w:rPr>
          <w:rFonts w:eastAsia="黑体"/>
          <w:snapToGrid w:val="0"/>
          <w:sz w:val="32"/>
          <w:szCs w:val="32"/>
        </w:rPr>
        <w:t>附件2</w:t>
      </w:r>
    </w:p>
    <w:p>
      <w:pPr>
        <w:overflowPunct w:val="0"/>
        <w:topLinePunct/>
      </w:pPr>
      <w:r>
        <w:rPr>
          <w:rFonts w:eastAsia="仿宋_GB2312"/>
          <w:snapToGrid w:val="0"/>
          <w:sz w:val="32"/>
          <w:szCs w:val="32"/>
        </w:rPr>
        <w:t xml:space="preserve"> </w:t>
      </w:r>
    </w:p>
    <w:p>
      <w:pPr>
        <w:overflowPunct w:val="0"/>
        <w:topLinePunct/>
      </w:pPr>
    </w:p>
    <w:p>
      <w:pPr>
        <w:overflowPunct w:val="0"/>
        <w:topLinePunct/>
        <w:jc w:val="center"/>
        <w:rPr>
          <w:rFonts w:eastAsia="黑体"/>
          <w:sz w:val="52"/>
          <w:szCs w:val="52"/>
        </w:rPr>
      </w:pPr>
    </w:p>
    <w:p>
      <w:pPr>
        <w:overflowPunct w:val="0"/>
        <w:topLinePunct/>
        <w:spacing w:line="360" w:lineRule="auto"/>
        <w:jc w:val="center"/>
        <w:rPr>
          <w:rFonts w:eastAsia="方正小标宋简体"/>
          <w:sz w:val="52"/>
          <w:szCs w:val="44"/>
        </w:rPr>
      </w:pPr>
      <w:r>
        <w:rPr>
          <w:rFonts w:eastAsia="方正小标宋简体"/>
          <w:sz w:val="52"/>
          <w:szCs w:val="44"/>
        </w:rPr>
        <w:t>淮北市绿色工厂评价报告</w:t>
      </w:r>
    </w:p>
    <w:p>
      <w:pPr>
        <w:overflowPunct w:val="0"/>
        <w:topLinePunct/>
      </w:pPr>
    </w:p>
    <w:p>
      <w:pPr>
        <w:overflowPunct w:val="0"/>
        <w:topLinePunct/>
      </w:pPr>
    </w:p>
    <w:p>
      <w:pPr>
        <w:overflowPunct w:val="0"/>
        <w:topLinePunct/>
      </w:pPr>
    </w:p>
    <w:p>
      <w:pPr>
        <w:overflowPunct w:val="0"/>
        <w:topLinePunct/>
      </w:pPr>
    </w:p>
    <w:p>
      <w:pPr>
        <w:overflowPunct w:val="0"/>
        <w:topLinePunct/>
      </w:pPr>
    </w:p>
    <w:p>
      <w:pPr>
        <w:overflowPunct w:val="0"/>
        <w:topLinePunct/>
      </w:pPr>
    </w:p>
    <w:p>
      <w:pPr>
        <w:overflowPunct w:val="0"/>
        <w:topLinePunct/>
      </w:pPr>
    </w:p>
    <w:p>
      <w:pPr>
        <w:overflowPunct w:val="0"/>
        <w:topLinePunct/>
      </w:pPr>
    </w:p>
    <w:p>
      <w:pPr>
        <w:overflowPunct w:val="0"/>
        <w:topLinePunct/>
      </w:pPr>
    </w:p>
    <w:p>
      <w:pPr>
        <w:overflowPunct w:val="0"/>
        <w:topLinePunct/>
      </w:pPr>
    </w:p>
    <w:p>
      <w:pPr>
        <w:overflowPunct w:val="0"/>
        <w:topLinePunct/>
      </w:pPr>
    </w:p>
    <w:p>
      <w:pPr>
        <w:overflowPunct w:val="0"/>
        <w:topLinePunct/>
        <w:rPr>
          <w:sz w:val="32"/>
          <w:szCs w:val="32"/>
          <w:u w:val="single"/>
        </w:rPr>
      </w:pPr>
      <w:r>
        <w:rPr>
          <w:sz w:val="32"/>
          <w:szCs w:val="32"/>
        </w:rPr>
        <w:t xml:space="preserve">         申报单位：</w:t>
      </w:r>
      <w:r>
        <w:rPr>
          <w:sz w:val="32"/>
          <w:szCs w:val="32"/>
          <w:u w:val="single"/>
        </w:rPr>
        <w:t xml:space="preserve">                            </w:t>
      </w:r>
    </w:p>
    <w:p>
      <w:pPr>
        <w:overflowPunct w:val="0"/>
        <w:topLinePunct/>
        <w:rPr>
          <w:sz w:val="32"/>
          <w:szCs w:val="32"/>
          <w:u w:val="single"/>
        </w:rPr>
      </w:pPr>
    </w:p>
    <w:p>
      <w:pPr>
        <w:overflowPunct w:val="0"/>
        <w:topLinePunct/>
        <w:rPr>
          <w:sz w:val="32"/>
          <w:szCs w:val="32"/>
          <w:u w:val="single"/>
        </w:rPr>
      </w:pPr>
      <w:r>
        <w:rPr>
          <w:sz w:val="32"/>
          <w:szCs w:val="32"/>
        </w:rPr>
        <w:t xml:space="preserve">         行业分类：</w:t>
      </w:r>
      <w:r>
        <w:rPr>
          <w:sz w:val="32"/>
          <w:szCs w:val="32"/>
          <w:u w:val="single"/>
        </w:rPr>
        <w:t xml:space="preserve">                            </w:t>
      </w:r>
    </w:p>
    <w:p>
      <w:pPr>
        <w:overflowPunct w:val="0"/>
        <w:topLinePunct/>
        <w:rPr>
          <w:sz w:val="32"/>
          <w:szCs w:val="32"/>
          <w:u w:val="single"/>
        </w:rPr>
      </w:pPr>
    </w:p>
    <w:p>
      <w:pPr>
        <w:overflowPunct w:val="0"/>
        <w:topLinePunct/>
        <w:rPr>
          <w:sz w:val="32"/>
          <w:szCs w:val="32"/>
          <w:u w:val="single"/>
        </w:rPr>
      </w:pPr>
      <w:r>
        <w:rPr>
          <w:sz w:val="32"/>
          <w:szCs w:val="32"/>
        </w:rPr>
        <w:t xml:space="preserve">         所在市县：</w:t>
      </w:r>
      <w:r>
        <w:rPr>
          <w:sz w:val="32"/>
          <w:szCs w:val="32"/>
          <w:u w:val="single"/>
        </w:rPr>
        <w:t xml:space="preserve">                            </w:t>
      </w:r>
    </w:p>
    <w:p>
      <w:pPr>
        <w:overflowPunct w:val="0"/>
        <w:topLinePunct/>
        <w:rPr>
          <w:sz w:val="32"/>
          <w:szCs w:val="32"/>
          <w:u w:val="single"/>
        </w:rPr>
      </w:pPr>
    </w:p>
    <w:p>
      <w:pPr>
        <w:overflowPunct w:val="0"/>
        <w:topLinePunct/>
      </w:pPr>
      <w:r>
        <w:rPr>
          <w:sz w:val="32"/>
          <w:szCs w:val="32"/>
        </w:rPr>
        <w:t xml:space="preserve">         </w:t>
      </w:r>
    </w:p>
    <w:p>
      <w:pPr>
        <w:overflowPunct w:val="0"/>
        <w:topLinePunct/>
        <w:rPr>
          <w:sz w:val="32"/>
          <w:szCs w:val="32"/>
        </w:rPr>
      </w:pPr>
    </w:p>
    <w:p>
      <w:pPr>
        <w:overflowPunct w:val="0"/>
        <w:topLinePunct/>
        <w:rPr>
          <w:sz w:val="32"/>
          <w:szCs w:val="32"/>
        </w:rPr>
      </w:pPr>
      <w:r>
        <w:rPr>
          <w:sz w:val="32"/>
          <w:szCs w:val="32"/>
        </w:rPr>
        <w:t xml:space="preserve">                </w:t>
      </w: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r>
        <w:rPr>
          <w:sz w:val="32"/>
          <w:szCs w:val="32"/>
        </w:rPr>
        <w:t xml:space="preserve">                   20  年  月   日</w:t>
      </w:r>
    </w:p>
    <w:p>
      <w:pPr>
        <w:overflowPunct w:val="0"/>
        <w:topLinePunct/>
        <w:spacing w:line="360" w:lineRule="auto"/>
        <w:rPr>
          <w:sz w:val="32"/>
          <w:szCs w:val="32"/>
        </w:rPr>
      </w:pPr>
    </w:p>
    <w:p>
      <w:pPr>
        <w:overflowPunct w:val="0"/>
        <w:topLinePunct/>
        <w:spacing w:line="360" w:lineRule="auto"/>
        <w:jc w:val="center"/>
        <w:rPr>
          <w:rFonts w:eastAsia="方正小标宋简体"/>
          <w:sz w:val="44"/>
          <w:szCs w:val="44"/>
        </w:rPr>
      </w:pPr>
      <w:r>
        <w:rPr>
          <w:rFonts w:eastAsia="仿宋"/>
          <w:sz w:val="44"/>
          <w:szCs w:val="44"/>
        </w:rPr>
        <w:br w:type="page"/>
      </w:r>
      <w:r>
        <w:rPr>
          <w:rFonts w:eastAsia="方正小标宋简体"/>
          <w:sz w:val="44"/>
          <w:szCs w:val="44"/>
        </w:rPr>
        <w:t>填 写 说 明</w:t>
      </w:r>
    </w:p>
    <w:p>
      <w:pPr>
        <w:overflowPunct w:val="0"/>
        <w:topLinePunct/>
        <w:spacing w:line="360" w:lineRule="auto"/>
        <w:ind w:firstLine="2640" w:firstLineChars="600"/>
        <w:rPr>
          <w:rFonts w:eastAsia="仿宋"/>
          <w:sz w:val="44"/>
          <w:szCs w:val="44"/>
        </w:rPr>
      </w:pPr>
    </w:p>
    <w:p>
      <w:pPr>
        <w:overflowPunct w:val="0"/>
        <w:topLinePunct/>
        <w:spacing w:line="360" w:lineRule="auto"/>
        <w:ind w:left="840"/>
        <w:rPr>
          <w:rFonts w:eastAsia="仿宋_GB2312"/>
          <w:sz w:val="32"/>
          <w:szCs w:val="32"/>
        </w:rPr>
      </w:pPr>
      <w:r>
        <w:rPr>
          <w:rFonts w:eastAsia="仿宋_GB2312"/>
          <w:sz w:val="32"/>
          <w:szCs w:val="32"/>
        </w:rPr>
        <w:t>一、申请企业应当准确、如实填报。</w:t>
      </w:r>
    </w:p>
    <w:p>
      <w:pPr>
        <w:overflowPunct w:val="0"/>
        <w:topLinePunct/>
        <w:spacing w:line="360" w:lineRule="auto"/>
        <w:ind w:left="160" w:firstLine="640" w:firstLineChars="200"/>
        <w:rPr>
          <w:rFonts w:eastAsia="仿宋_GB2312"/>
          <w:sz w:val="32"/>
          <w:szCs w:val="32"/>
        </w:rPr>
      </w:pPr>
      <w:r>
        <w:rPr>
          <w:rFonts w:eastAsia="仿宋_GB2312"/>
          <w:sz w:val="32"/>
          <w:szCs w:val="32"/>
        </w:rPr>
        <w:t>二、所属行业分类请依据GB/T4754《国民经济行业分类》填写；单位性质依据营业执照中的类型填写。</w:t>
      </w:r>
    </w:p>
    <w:p>
      <w:pPr>
        <w:overflowPunct w:val="0"/>
        <w:topLinePunct/>
        <w:spacing w:line="360" w:lineRule="auto"/>
        <w:ind w:left="160" w:firstLine="640" w:firstLineChars="200"/>
        <w:rPr>
          <w:rFonts w:eastAsia="仿宋_GB2312"/>
          <w:sz w:val="32"/>
          <w:szCs w:val="32"/>
        </w:rPr>
      </w:pPr>
      <w:r>
        <w:rPr>
          <w:rFonts w:eastAsia="仿宋_GB2312"/>
          <w:sz w:val="32"/>
          <w:szCs w:val="32"/>
        </w:rPr>
        <w:t>三、相关项目页面不够时，可加附页。</w:t>
      </w:r>
    </w:p>
    <w:p>
      <w:pPr>
        <w:overflowPunct w:val="0"/>
        <w:topLinePunct/>
        <w:spacing w:line="360" w:lineRule="auto"/>
        <w:ind w:left="160" w:firstLine="640" w:firstLineChars="200"/>
        <w:rPr>
          <w:rFonts w:eastAsia="仿宋_GB2312"/>
          <w:sz w:val="32"/>
          <w:szCs w:val="32"/>
        </w:rPr>
      </w:pPr>
      <w:r>
        <w:rPr>
          <w:rFonts w:eastAsia="仿宋_GB2312"/>
          <w:sz w:val="32"/>
          <w:szCs w:val="32"/>
        </w:rPr>
        <w:t>四、评价报告应按照规定格式填写，并使用A4纸打印装订。</w:t>
      </w:r>
    </w:p>
    <w:p>
      <w:pPr>
        <w:overflowPunct w:val="0"/>
        <w:topLinePunct/>
        <w:rPr>
          <w:rFonts w:eastAsia="仿宋"/>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sz w:val="32"/>
          <w:szCs w:val="32"/>
        </w:rPr>
      </w:pPr>
    </w:p>
    <w:p>
      <w:pPr>
        <w:overflowPunct w:val="0"/>
        <w:topLinePunct/>
        <w:rPr>
          <w:rFonts w:eastAsia="黑体"/>
          <w:sz w:val="32"/>
          <w:szCs w:val="32"/>
        </w:rPr>
      </w:pPr>
      <w:r>
        <w:rPr>
          <w:rFonts w:eastAsia="黑体"/>
          <w:sz w:val="32"/>
          <w:szCs w:val="32"/>
        </w:rPr>
        <w:br w:type="page"/>
      </w:r>
      <w:r>
        <w:rPr>
          <w:rFonts w:eastAsia="黑体"/>
          <w:sz w:val="32"/>
          <w:szCs w:val="32"/>
        </w:rPr>
        <w:t>表-1</w:t>
      </w:r>
    </w:p>
    <w:p>
      <w:pPr>
        <w:overflowPunct w:val="0"/>
        <w:topLinePunct/>
        <w:spacing w:before="120" w:beforeLines="50" w:after="120" w:afterLines="50"/>
        <w:jc w:val="center"/>
        <w:rPr>
          <w:rFonts w:eastAsia="黑体"/>
          <w:bCs/>
          <w:sz w:val="32"/>
          <w:szCs w:val="32"/>
        </w:rPr>
      </w:pPr>
      <w:r>
        <w:rPr>
          <w:rFonts w:eastAsia="黑体"/>
          <w:bCs/>
          <w:sz w:val="32"/>
          <w:szCs w:val="32"/>
        </w:rPr>
        <w:t>申报单位基本信息表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75"/>
        <w:gridCol w:w="265"/>
        <w:gridCol w:w="233"/>
        <w:gridCol w:w="1569"/>
        <w:gridCol w:w="302"/>
        <w:gridCol w:w="598"/>
        <w:gridCol w:w="360"/>
        <w:gridCol w:w="177"/>
        <w:gridCol w:w="723"/>
        <w:gridCol w:w="559"/>
        <w:gridCol w:w="518"/>
        <w:gridCol w:w="183"/>
        <w:gridCol w:w="18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90" w:line="300" w:lineRule="exact"/>
              <w:jc w:val="center"/>
              <w:rPr>
                <w:rFonts w:eastAsia="仿宋_GB2312"/>
                <w:b/>
                <w:bCs/>
                <w:sz w:val="32"/>
                <w:szCs w:val="32"/>
              </w:rPr>
            </w:pPr>
            <w:r>
              <w:rPr>
                <w:rFonts w:eastAsia="仿宋_GB2312"/>
                <w:szCs w:val="24"/>
              </w:rPr>
              <w:t>工厂名称</w:t>
            </w:r>
          </w:p>
        </w:tc>
        <w:tc>
          <w:tcPr>
            <w:tcW w:w="6702" w:type="dxa"/>
            <w:gridSpan w:val="13"/>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89" w:line="300" w:lineRule="exact"/>
              <w:jc w:val="center"/>
              <w:rPr>
                <w:rFonts w:eastAsia="仿宋_GB2312"/>
                <w:b/>
                <w:bCs/>
                <w:sz w:val="32"/>
                <w:szCs w:val="32"/>
              </w:rPr>
            </w:pPr>
            <w:r>
              <w:rPr>
                <w:rFonts w:eastAsia="仿宋_GB2312"/>
                <w:szCs w:val="24"/>
              </w:rPr>
              <w:t>所属行业</w:t>
            </w:r>
          </w:p>
        </w:tc>
        <w:tc>
          <w:tcPr>
            <w:tcW w:w="6702" w:type="dxa"/>
            <w:gridSpan w:val="13"/>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90" w:line="300" w:lineRule="exact"/>
              <w:jc w:val="center"/>
              <w:rPr>
                <w:rFonts w:eastAsia="仿宋_GB2312"/>
                <w:b/>
                <w:bCs/>
                <w:sz w:val="32"/>
                <w:szCs w:val="32"/>
              </w:rPr>
            </w:pPr>
            <w:r>
              <w:rPr>
                <w:rFonts w:eastAsia="仿宋_GB2312"/>
                <w:szCs w:val="24"/>
              </w:rPr>
              <w:t>通讯地址</w:t>
            </w:r>
          </w:p>
        </w:tc>
        <w:tc>
          <w:tcPr>
            <w:tcW w:w="6702" w:type="dxa"/>
            <w:gridSpan w:val="13"/>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89" w:line="300" w:lineRule="exact"/>
              <w:jc w:val="center"/>
              <w:rPr>
                <w:rFonts w:eastAsia="仿宋_GB2312"/>
                <w:b/>
                <w:bCs/>
                <w:sz w:val="32"/>
                <w:szCs w:val="32"/>
              </w:rPr>
            </w:pPr>
            <w:r>
              <w:rPr>
                <w:rFonts w:eastAsia="仿宋_GB2312"/>
                <w:szCs w:val="24"/>
              </w:rPr>
              <w:t>单位性质</w:t>
            </w:r>
          </w:p>
        </w:tc>
        <w:tc>
          <w:tcPr>
            <w:tcW w:w="6702" w:type="dxa"/>
            <w:gridSpan w:val="13"/>
            <w:vAlign w:val="center"/>
          </w:tcPr>
          <w:p>
            <w:pPr>
              <w:pStyle w:val="47"/>
              <w:widowControl w:val="0"/>
              <w:overflowPunct w:val="0"/>
              <w:topLinePunct/>
              <w:spacing w:before="89" w:line="300" w:lineRule="exact"/>
              <w:ind w:left="103"/>
              <w:jc w:val="left"/>
              <w:rPr>
                <w:rFonts w:ascii="仿宋_GB2312" w:eastAsia="仿宋_GB2312"/>
                <w:b/>
                <w:bCs/>
                <w:sz w:val="32"/>
                <w:szCs w:val="32"/>
              </w:rPr>
            </w:pPr>
            <w:r>
              <w:rPr>
                <w:rFonts w:hint="eastAsia" w:ascii="仿宋_GB2312" w:eastAsia="仿宋_GB2312"/>
                <w:spacing w:val="-1"/>
                <w:szCs w:val="24"/>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821" w:type="dxa"/>
            <w:gridSpan w:val="2"/>
            <w:vAlign w:val="center"/>
          </w:tcPr>
          <w:p>
            <w:pPr>
              <w:pStyle w:val="47"/>
              <w:widowControl w:val="0"/>
              <w:overflowPunct w:val="0"/>
              <w:topLinePunct/>
              <w:spacing w:line="300" w:lineRule="exact"/>
              <w:jc w:val="center"/>
              <w:rPr>
                <w:rFonts w:eastAsia="仿宋_GB2312"/>
                <w:szCs w:val="24"/>
              </w:rPr>
            </w:pPr>
            <w:r>
              <w:rPr>
                <w:rFonts w:eastAsia="仿宋_GB2312"/>
                <w:szCs w:val="24"/>
              </w:rPr>
              <w:t>统一社会</w:t>
            </w:r>
          </w:p>
          <w:p>
            <w:pPr>
              <w:pStyle w:val="47"/>
              <w:widowControl w:val="0"/>
              <w:overflowPunct w:val="0"/>
              <w:topLinePunct/>
              <w:spacing w:line="300" w:lineRule="exact"/>
              <w:jc w:val="center"/>
              <w:rPr>
                <w:rFonts w:eastAsia="仿宋_GB2312"/>
                <w:szCs w:val="24"/>
              </w:rPr>
            </w:pPr>
            <w:r>
              <w:rPr>
                <w:rFonts w:eastAsia="仿宋_GB2312"/>
                <w:szCs w:val="24"/>
              </w:rPr>
              <w:t>信用代码</w:t>
            </w:r>
          </w:p>
        </w:tc>
        <w:tc>
          <w:tcPr>
            <w:tcW w:w="2369" w:type="dxa"/>
            <w:gridSpan w:val="4"/>
            <w:vAlign w:val="center"/>
          </w:tcPr>
          <w:p>
            <w:pPr>
              <w:overflowPunct w:val="0"/>
              <w:topLinePunct/>
              <w:spacing w:line="300" w:lineRule="exact"/>
              <w:jc w:val="center"/>
              <w:rPr>
                <w:rFonts w:eastAsia="仿宋_GB2312"/>
                <w:b/>
                <w:bCs/>
                <w:sz w:val="32"/>
                <w:szCs w:val="32"/>
              </w:rPr>
            </w:pPr>
          </w:p>
        </w:tc>
        <w:tc>
          <w:tcPr>
            <w:tcW w:w="2417" w:type="dxa"/>
            <w:gridSpan w:val="5"/>
            <w:vAlign w:val="center"/>
          </w:tcPr>
          <w:p>
            <w:pPr>
              <w:pStyle w:val="47"/>
              <w:widowControl w:val="0"/>
              <w:overflowPunct w:val="0"/>
              <w:topLinePunct/>
              <w:spacing w:before="120" w:line="300" w:lineRule="exact"/>
              <w:jc w:val="center"/>
              <w:rPr>
                <w:rFonts w:eastAsia="仿宋_GB2312"/>
                <w:b/>
                <w:bCs/>
                <w:sz w:val="32"/>
                <w:szCs w:val="32"/>
              </w:rPr>
            </w:pPr>
            <w:r>
              <w:rPr>
                <w:rFonts w:eastAsia="仿宋_GB2312"/>
                <w:szCs w:val="24"/>
              </w:rPr>
              <w:t>邮编</w:t>
            </w:r>
          </w:p>
        </w:tc>
        <w:tc>
          <w:tcPr>
            <w:tcW w:w="1916" w:type="dxa"/>
            <w:gridSpan w:val="4"/>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90" w:line="300" w:lineRule="exact"/>
              <w:jc w:val="center"/>
              <w:rPr>
                <w:rFonts w:eastAsia="仿宋_GB2312"/>
                <w:b/>
                <w:bCs/>
                <w:sz w:val="32"/>
                <w:szCs w:val="32"/>
              </w:rPr>
            </w:pPr>
            <w:r>
              <w:rPr>
                <w:rFonts w:eastAsia="仿宋_GB2312"/>
                <w:szCs w:val="24"/>
              </w:rPr>
              <w:t>注册机关</w:t>
            </w:r>
          </w:p>
        </w:tc>
        <w:tc>
          <w:tcPr>
            <w:tcW w:w="2369" w:type="dxa"/>
            <w:gridSpan w:val="4"/>
            <w:vAlign w:val="center"/>
          </w:tcPr>
          <w:p>
            <w:pPr>
              <w:overflowPunct w:val="0"/>
              <w:topLinePunct/>
              <w:spacing w:line="300" w:lineRule="exact"/>
              <w:jc w:val="center"/>
              <w:rPr>
                <w:rFonts w:eastAsia="仿宋_GB2312"/>
                <w:b/>
                <w:bCs/>
                <w:sz w:val="32"/>
                <w:szCs w:val="32"/>
              </w:rPr>
            </w:pPr>
          </w:p>
        </w:tc>
        <w:tc>
          <w:tcPr>
            <w:tcW w:w="2417" w:type="dxa"/>
            <w:gridSpan w:val="5"/>
            <w:vAlign w:val="center"/>
          </w:tcPr>
          <w:p>
            <w:pPr>
              <w:pStyle w:val="47"/>
              <w:widowControl w:val="0"/>
              <w:overflowPunct w:val="0"/>
              <w:topLinePunct/>
              <w:spacing w:before="90" w:line="300" w:lineRule="exact"/>
              <w:jc w:val="center"/>
              <w:rPr>
                <w:rFonts w:eastAsia="仿宋_GB2312"/>
                <w:b/>
                <w:bCs/>
                <w:sz w:val="32"/>
                <w:szCs w:val="32"/>
              </w:rPr>
            </w:pPr>
            <w:r>
              <w:rPr>
                <w:rFonts w:eastAsia="仿宋_GB2312"/>
                <w:szCs w:val="24"/>
              </w:rPr>
              <w:t>注册资本</w:t>
            </w:r>
          </w:p>
        </w:tc>
        <w:tc>
          <w:tcPr>
            <w:tcW w:w="1916" w:type="dxa"/>
            <w:gridSpan w:val="4"/>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89" w:line="300" w:lineRule="exact"/>
              <w:jc w:val="center"/>
              <w:rPr>
                <w:rFonts w:eastAsia="仿宋_GB2312"/>
                <w:b/>
                <w:bCs/>
                <w:sz w:val="32"/>
                <w:szCs w:val="32"/>
              </w:rPr>
            </w:pPr>
            <w:r>
              <w:rPr>
                <w:rFonts w:eastAsia="仿宋_GB2312"/>
                <w:szCs w:val="24"/>
              </w:rPr>
              <w:t>成立日期</w:t>
            </w:r>
          </w:p>
        </w:tc>
        <w:tc>
          <w:tcPr>
            <w:tcW w:w="2369" w:type="dxa"/>
            <w:gridSpan w:val="4"/>
            <w:vAlign w:val="center"/>
          </w:tcPr>
          <w:p>
            <w:pPr>
              <w:overflowPunct w:val="0"/>
              <w:topLinePunct/>
              <w:spacing w:line="300" w:lineRule="exact"/>
              <w:jc w:val="center"/>
              <w:rPr>
                <w:rFonts w:eastAsia="仿宋_GB2312"/>
                <w:b/>
                <w:bCs/>
                <w:sz w:val="32"/>
                <w:szCs w:val="32"/>
              </w:rPr>
            </w:pPr>
          </w:p>
        </w:tc>
        <w:tc>
          <w:tcPr>
            <w:tcW w:w="2417" w:type="dxa"/>
            <w:gridSpan w:val="5"/>
            <w:vAlign w:val="center"/>
          </w:tcPr>
          <w:p>
            <w:pPr>
              <w:pStyle w:val="47"/>
              <w:widowControl w:val="0"/>
              <w:overflowPunct w:val="0"/>
              <w:topLinePunct/>
              <w:spacing w:before="89" w:line="300" w:lineRule="exact"/>
              <w:jc w:val="center"/>
              <w:rPr>
                <w:rFonts w:eastAsia="仿宋_GB2312"/>
                <w:b/>
                <w:bCs/>
                <w:sz w:val="32"/>
                <w:szCs w:val="32"/>
              </w:rPr>
            </w:pPr>
            <w:r>
              <w:rPr>
                <w:rFonts w:eastAsia="仿宋_GB2312"/>
                <w:szCs w:val="24"/>
              </w:rPr>
              <w:t>有效期</w:t>
            </w:r>
          </w:p>
        </w:tc>
        <w:tc>
          <w:tcPr>
            <w:tcW w:w="1916" w:type="dxa"/>
            <w:gridSpan w:val="4"/>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120" w:line="300" w:lineRule="exact"/>
              <w:jc w:val="center"/>
              <w:rPr>
                <w:rFonts w:eastAsia="仿宋_GB2312"/>
                <w:b/>
                <w:bCs/>
                <w:sz w:val="32"/>
                <w:szCs w:val="32"/>
              </w:rPr>
            </w:pPr>
            <w:r>
              <w:rPr>
                <w:rFonts w:eastAsia="仿宋_GB2312"/>
                <w:szCs w:val="24"/>
              </w:rPr>
              <w:t>法定代表人</w:t>
            </w:r>
          </w:p>
        </w:tc>
        <w:tc>
          <w:tcPr>
            <w:tcW w:w="2369" w:type="dxa"/>
            <w:gridSpan w:val="4"/>
            <w:vAlign w:val="center"/>
          </w:tcPr>
          <w:p>
            <w:pPr>
              <w:overflowPunct w:val="0"/>
              <w:topLinePunct/>
              <w:spacing w:line="300" w:lineRule="exact"/>
              <w:jc w:val="center"/>
              <w:rPr>
                <w:rFonts w:eastAsia="仿宋_GB2312"/>
                <w:b/>
                <w:bCs/>
                <w:sz w:val="32"/>
                <w:szCs w:val="32"/>
              </w:rPr>
            </w:pPr>
          </w:p>
        </w:tc>
        <w:tc>
          <w:tcPr>
            <w:tcW w:w="2417" w:type="dxa"/>
            <w:gridSpan w:val="5"/>
            <w:vAlign w:val="center"/>
          </w:tcPr>
          <w:p>
            <w:pPr>
              <w:pStyle w:val="47"/>
              <w:widowControl w:val="0"/>
              <w:overflowPunct w:val="0"/>
              <w:topLinePunct/>
              <w:spacing w:line="300" w:lineRule="exact"/>
              <w:jc w:val="center"/>
              <w:rPr>
                <w:rFonts w:eastAsia="仿宋_GB2312"/>
                <w:b/>
                <w:bCs/>
                <w:sz w:val="32"/>
                <w:szCs w:val="32"/>
              </w:rPr>
            </w:pPr>
            <w:r>
              <w:rPr>
                <w:rFonts w:eastAsia="仿宋_GB2312"/>
                <w:szCs w:val="24"/>
              </w:rPr>
              <w:t>法人代表联系电话</w:t>
            </w:r>
          </w:p>
        </w:tc>
        <w:tc>
          <w:tcPr>
            <w:tcW w:w="1916" w:type="dxa"/>
            <w:gridSpan w:val="4"/>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21" w:type="dxa"/>
            <w:gridSpan w:val="2"/>
            <w:vAlign w:val="center"/>
          </w:tcPr>
          <w:p>
            <w:pPr>
              <w:pStyle w:val="47"/>
              <w:widowControl w:val="0"/>
              <w:overflowPunct w:val="0"/>
              <w:topLinePunct/>
              <w:spacing w:line="300" w:lineRule="exact"/>
              <w:jc w:val="center"/>
              <w:rPr>
                <w:rFonts w:eastAsia="仿宋_GB2312"/>
                <w:szCs w:val="24"/>
              </w:rPr>
            </w:pPr>
            <w:r>
              <w:rPr>
                <w:rFonts w:eastAsia="仿宋_GB2312"/>
                <w:szCs w:val="24"/>
              </w:rPr>
              <w:t>申报工作</w:t>
            </w:r>
          </w:p>
          <w:p>
            <w:pPr>
              <w:pStyle w:val="47"/>
              <w:widowControl w:val="0"/>
              <w:overflowPunct w:val="0"/>
              <w:topLinePunct/>
              <w:spacing w:line="300" w:lineRule="exact"/>
              <w:jc w:val="center"/>
              <w:rPr>
                <w:rFonts w:eastAsia="仿宋_GB2312"/>
                <w:b/>
                <w:bCs/>
                <w:sz w:val="32"/>
                <w:szCs w:val="32"/>
              </w:rPr>
            </w:pPr>
            <w:r>
              <w:rPr>
                <w:rFonts w:eastAsia="仿宋_GB2312"/>
                <w:szCs w:val="24"/>
              </w:rPr>
              <w:t>联系部门</w:t>
            </w:r>
          </w:p>
        </w:tc>
        <w:tc>
          <w:tcPr>
            <w:tcW w:w="2369" w:type="dxa"/>
            <w:gridSpan w:val="4"/>
            <w:vAlign w:val="center"/>
          </w:tcPr>
          <w:p>
            <w:pPr>
              <w:overflowPunct w:val="0"/>
              <w:topLinePunct/>
              <w:spacing w:line="300" w:lineRule="exact"/>
              <w:jc w:val="center"/>
              <w:rPr>
                <w:rFonts w:eastAsia="仿宋_GB2312"/>
                <w:b/>
                <w:bCs/>
                <w:sz w:val="32"/>
                <w:szCs w:val="32"/>
              </w:rPr>
            </w:pPr>
          </w:p>
        </w:tc>
        <w:tc>
          <w:tcPr>
            <w:tcW w:w="2417" w:type="dxa"/>
            <w:gridSpan w:val="5"/>
            <w:vAlign w:val="center"/>
          </w:tcPr>
          <w:p>
            <w:pPr>
              <w:pStyle w:val="47"/>
              <w:widowControl w:val="0"/>
              <w:overflowPunct w:val="0"/>
              <w:topLinePunct/>
              <w:spacing w:before="119" w:line="300" w:lineRule="exact"/>
              <w:jc w:val="center"/>
              <w:rPr>
                <w:rFonts w:eastAsia="仿宋_GB2312"/>
                <w:b/>
                <w:bCs/>
                <w:sz w:val="32"/>
                <w:szCs w:val="32"/>
              </w:rPr>
            </w:pPr>
            <w:r>
              <w:rPr>
                <w:rFonts w:eastAsia="仿宋_GB2312"/>
                <w:szCs w:val="24"/>
              </w:rPr>
              <w:t>联系人</w:t>
            </w:r>
          </w:p>
        </w:tc>
        <w:tc>
          <w:tcPr>
            <w:tcW w:w="1916" w:type="dxa"/>
            <w:gridSpan w:val="4"/>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90" w:line="300" w:lineRule="exact"/>
              <w:jc w:val="center"/>
              <w:rPr>
                <w:rFonts w:eastAsia="仿宋_GB2312"/>
                <w:b/>
                <w:bCs/>
                <w:sz w:val="32"/>
                <w:szCs w:val="32"/>
              </w:rPr>
            </w:pPr>
            <w:r>
              <w:rPr>
                <w:rFonts w:eastAsia="仿宋_GB2312"/>
                <w:szCs w:val="24"/>
              </w:rPr>
              <w:t>联系电话</w:t>
            </w:r>
          </w:p>
        </w:tc>
        <w:tc>
          <w:tcPr>
            <w:tcW w:w="2369" w:type="dxa"/>
            <w:gridSpan w:val="4"/>
            <w:vAlign w:val="center"/>
          </w:tcPr>
          <w:p>
            <w:pPr>
              <w:overflowPunct w:val="0"/>
              <w:topLinePunct/>
              <w:spacing w:line="300" w:lineRule="exact"/>
              <w:jc w:val="center"/>
              <w:rPr>
                <w:rFonts w:eastAsia="仿宋_GB2312"/>
                <w:b/>
                <w:bCs/>
                <w:sz w:val="32"/>
                <w:szCs w:val="32"/>
              </w:rPr>
            </w:pPr>
          </w:p>
        </w:tc>
        <w:tc>
          <w:tcPr>
            <w:tcW w:w="2417" w:type="dxa"/>
            <w:gridSpan w:val="5"/>
            <w:vAlign w:val="center"/>
          </w:tcPr>
          <w:p>
            <w:pPr>
              <w:pStyle w:val="47"/>
              <w:widowControl w:val="0"/>
              <w:overflowPunct w:val="0"/>
              <w:topLinePunct/>
              <w:spacing w:before="90" w:line="300" w:lineRule="exact"/>
              <w:jc w:val="center"/>
              <w:rPr>
                <w:rFonts w:eastAsia="仿宋_GB2312"/>
                <w:b/>
                <w:bCs/>
                <w:sz w:val="32"/>
                <w:szCs w:val="32"/>
              </w:rPr>
            </w:pPr>
            <w:r>
              <w:rPr>
                <w:rFonts w:eastAsia="仿宋_GB2312"/>
                <w:szCs w:val="24"/>
              </w:rPr>
              <w:t>传真</w:t>
            </w:r>
          </w:p>
        </w:tc>
        <w:tc>
          <w:tcPr>
            <w:tcW w:w="1916" w:type="dxa"/>
            <w:gridSpan w:val="4"/>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89" w:line="300" w:lineRule="exact"/>
              <w:ind w:right="1"/>
              <w:jc w:val="center"/>
              <w:rPr>
                <w:rFonts w:eastAsia="仿宋_GB2312"/>
                <w:b/>
                <w:bCs/>
                <w:sz w:val="32"/>
                <w:szCs w:val="32"/>
              </w:rPr>
            </w:pPr>
            <w:r>
              <w:rPr>
                <w:rFonts w:eastAsia="仿宋_GB2312"/>
                <w:szCs w:val="24"/>
              </w:rPr>
              <w:t>手</w:t>
            </w:r>
            <w:r>
              <w:rPr>
                <w:rFonts w:hint="eastAsia" w:eastAsia="仿宋_GB2312"/>
                <w:szCs w:val="24"/>
              </w:rPr>
              <w:t xml:space="preserve">    </w:t>
            </w:r>
            <w:r>
              <w:rPr>
                <w:rFonts w:eastAsia="仿宋_GB2312"/>
                <w:szCs w:val="24"/>
              </w:rPr>
              <w:t>机</w:t>
            </w:r>
          </w:p>
        </w:tc>
        <w:tc>
          <w:tcPr>
            <w:tcW w:w="2369" w:type="dxa"/>
            <w:gridSpan w:val="4"/>
            <w:vAlign w:val="center"/>
          </w:tcPr>
          <w:p>
            <w:pPr>
              <w:overflowPunct w:val="0"/>
              <w:topLinePunct/>
              <w:spacing w:line="300" w:lineRule="exact"/>
              <w:jc w:val="center"/>
              <w:rPr>
                <w:rFonts w:eastAsia="仿宋_GB2312"/>
                <w:b/>
                <w:bCs/>
                <w:sz w:val="32"/>
                <w:szCs w:val="32"/>
              </w:rPr>
            </w:pPr>
          </w:p>
        </w:tc>
        <w:tc>
          <w:tcPr>
            <w:tcW w:w="2417" w:type="dxa"/>
            <w:gridSpan w:val="5"/>
            <w:vAlign w:val="center"/>
          </w:tcPr>
          <w:p>
            <w:pPr>
              <w:pStyle w:val="47"/>
              <w:widowControl w:val="0"/>
              <w:overflowPunct w:val="0"/>
              <w:topLinePunct/>
              <w:spacing w:before="89" w:line="300" w:lineRule="exact"/>
              <w:jc w:val="center"/>
              <w:rPr>
                <w:rFonts w:eastAsia="仿宋_GB2312"/>
                <w:b/>
                <w:bCs/>
                <w:sz w:val="32"/>
                <w:szCs w:val="32"/>
              </w:rPr>
            </w:pPr>
            <w:r>
              <w:rPr>
                <w:rFonts w:eastAsia="仿宋_GB2312"/>
                <w:szCs w:val="24"/>
              </w:rPr>
              <w:t>电子邮箱</w:t>
            </w:r>
          </w:p>
        </w:tc>
        <w:tc>
          <w:tcPr>
            <w:tcW w:w="1916" w:type="dxa"/>
            <w:gridSpan w:val="4"/>
            <w:vAlign w:val="center"/>
          </w:tcPr>
          <w:p>
            <w:pPr>
              <w:overflowPunct w:val="0"/>
              <w:topLinePunct/>
              <w:spacing w:line="300" w:lineRule="exact"/>
              <w:jc w:val="center"/>
              <w:rPr>
                <w:rFonts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主营业务</w:t>
            </w:r>
          </w:p>
        </w:tc>
        <w:tc>
          <w:tcPr>
            <w:tcW w:w="2369" w:type="dxa"/>
            <w:gridSpan w:val="4"/>
            <w:vAlign w:val="center"/>
          </w:tcPr>
          <w:p>
            <w:pPr>
              <w:pStyle w:val="47"/>
              <w:widowControl w:val="0"/>
              <w:overflowPunct w:val="0"/>
              <w:topLinePunct/>
              <w:spacing w:before="89" w:line="300" w:lineRule="exact"/>
              <w:ind w:right="1"/>
              <w:jc w:val="center"/>
              <w:rPr>
                <w:rFonts w:eastAsia="仿宋_GB2312"/>
                <w:szCs w:val="24"/>
              </w:rPr>
            </w:pPr>
          </w:p>
        </w:tc>
        <w:tc>
          <w:tcPr>
            <w:tcW w:w="2417" w:type="dxa"/>
            <w:gridSpan w:val="5"/>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主导产品</w:t>
            </w:r>
          </w:p>
        </w:tc>
        <w:tc>
          <w:tcPr>
            <w:tcW w:w="1916" w:type="dxa"/>
            <w:gridSpan w:val="4"/>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821" w:type="dxa"/>
            <w:gridSpan w:val="2"/>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银行信用等级</w:t>
            </w:r>
          </w:p>
        </w:tc>
        <w:tc>
          <w:tcPr>
            <w:tcW w:w="6702" w:type="dxa"/>
            <w:gridSpan w:val="13"/>
            <w:vAlign w:val="center"/>
          </w:tcPr>
          <w:p>
            <w:pPr>
              <w:pStyle w:val="47"/>
              <w:widowControl w:val="0"/>
              <w:overflowPunct w:val="0"/>
              <w:topLinePunct/>
              <w:spacing w:before="89" w:line="300" w:lineRule="exact"/>
              <w:jc w:val="left"/>
              <w:rPr>
                <w:rFonts w:eastAsia="仿宋_GB2312"/>
                <w:szCs w:val="24"/>
              </w:rPr>
            </w:pPr>
            <w:r>
              <w:rPr>
                <w:rFonts w:eastAsia="仿宋_GB2312"/>
                <w:szCs w:val="24"/>
              </w:rPr>
              <w:sym w:font="Wingdings 2" w:char="00A3"/>
            </w:r>
            <w:r>
              <w:rPr>
                <w:rFonts w:eastAsia="仿宋_GB2312"/>
                <w:szCs w:val="24"/>
              </w:rPr>
              <w:t xml:space="preserve"> AAA  </w:t>
            </w:r>
            <w:r>
              <w:rPr>
                <w:rFonts w:eastAsia="仿宋_GB2312"/>
                <w:szCs w:val="24"/>
              </w:rPr>
              <w:sym w:font="Wingdings 2" w:char="00A3"/>
            </w:r>
            <w:r>
              <w:rPr>
                <w:rFonts w:eastAsia="仿宋_GB2312"/>
                <w:szCs w:val="24"/>
              </w:rPr>
              <w:t xml:space="preserve"> AA+  </w:t>
            </w:r>
            <w:r>
              <w:rPr>
                <w:rFonts w:eastAsia="仿宋_GB2312"/>
                <w:szCs w:val="24"/>
              </w:rPr>
              <w:sym w:font="Wingdings 2" w:char="00A3"/>
            </w:r>
            <w:r>
              <w:rPr>
                <w:rFonts w:eastAsia="仿宋_GB2312"/>
                <w:szCs w:val="24"/>
              </w:rPr>
              <w:t xml:space="preserve"> AA  </w:t>
            </w:r>
            <w:r>
              <w:rPr>
                <w:rFonts w:eastAsia="仿宋_GB2312"/>
                <w:szCs w:val="24"/>
              </w:rPr>
              <w:sym w:font="Wingdings 2" w:char="00A3"/>
            </w:r>
            <w:r>
              <w:rPr>
                <w:rFonts w:eastAsia="仿宋_GB2312"/>
                <w:szCs w:val="24"/>
              </w:rPr>
              <w:t xml:space="preserve"> AA-  </w:t>
            </w:r>
            <w:r>
              <w:rPr>
                <w:rFonts w:eastAsia="仿宋_GB2312"/>
                <w:szCs w:val="24"/>
              </w:rPr>
              <w:sym w:font="Wingdings 2" w:char="00A3"/>
            </w:r>
            <w:r>
              <w:rPr>
                <w:rFonts w:eastAsia="仿宋_GB2312"/>
                <w:szCs w:val="24"/>
              </w:rPr>
              <w:t xml:space="preserve"> A+   </w:t>
            </w:r>
            <w:r>
              <w:rPr>
                <w:rFonts w:eastAsia="仿宋_GB2312"/>
                <w:szCs w:val="24"/>
              </w:rPr>
              <w:sym w:font="Wingdings 2" w:char="00A3"/>
            </w:r>
            <w:r>
              <w:rPr>
                <w:rFonts w:eastAsia="仿宋_GB2312"/>
                <w:szCs w:val="24"/>
              </w:rPr>
              <w:t xml:space="preserve"> A  </w:t>
            </w:r>
            <w:r>
              <w:rPr>
                <w:rFonts w:eastAsia="仿宋_GB2312"/>
                <w:szCs w:val="24"/>
              </w:rPr>
              <w:sym w:font="Wingdings 2" w:char="00A3"/>
            </w:r>
            <w:r>
              <w:rPr>
                <w:rFonts w:eastAsia="仿宋_GB2312"/>
                <w:szCs w:val="24"/>
              </w:rPr>
              <w:t xml:space="preserve"> A-</w:t>
            </w:r>
          </w:p>
          <w:p>
            <w:pPr>
              <w:pStyle w:val="47"/>
              <w:widowControl w:val="0"/>
              <w:overflowPunct w:val="0"/>
              <w:topLinePunct/>
              <w:spacing w:before="89" w:line="300" w:lineRule="exact"/>
              <w:jc w:val="left"/>
              <w:rPr>
                <w:rFonts w:eastAsia="仿宋_GB2312"/>
                <w:szCs w:val="24"/>
              </w:rPr>
            </w:pPr>
            <w:r>
              <w:rPr>
                <w:rFonts w:eastAsia="仿宋_GB2312"/>
                <w:szCs w:val="24"/>
              </w:rPr>
              <w:sym w:font="Wingdings 2" w:char="00A3"/>
            </w:r>
            <w:r>
              <w:rPr>
                <w:rFonts w:eastAsia="仿宋_GB2312"/>
                <w:szCs w:val="24"/>
              </w:rPr>
              <w:t xml:space="preserve"> BBB  </w:t>
            </w:r>
            <w:r>
              <w:rPr>
                <w:rFonts w:eastAsia="仿宋_GB2312"/>
                <w:szCs w:val="24"/>
              </w:rPr>
              <w:sym w:font="Wingdings 2" w:char="00A3"/>
            </w:r>
            <w:r>
              <w:rPr>
                <w:rFonts w:eastAsia="仿宋_GB2312"/>
                <w:szCs w:val="24"/>
              </w:rPr>
              <w:t xml:space="preserve">BB   </w:t>
            </w:r>
            <w:r>
              <w:rPr>
                <w:rFonts w:eastAsia="仿宋_GB2312"/>
                <w:szCs w:val="24"/>
              </w:rPr>
              <w:sym w:font="Wingdings 2" w:char="00A3"/>
            </w:r>
            <w:r>
              <w:rPr>
                <w:rFonts w:eastAsia="仿宋_GB2312"/>
                <w:szCs w:val="24"/>
              </w:rPr>
              <w:t xml:space="preserve"> B    </w:t>
            </w:r>
            <w:r>
              <w:rPr>
                <w:rFonts w:eastAsia="仿宋_GB2312"/>
                <w:szCs w:val="24"/>
              </w:rPr>
              <w:sym w:font="Wingdings 2" w:char="00A3"/>
            </w:r>
            <w:r>
              <w:rPr>
                <w:rFonts w:eastAsia="仿宋_GB2312"/>
                <w:szCs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21" w:type="dxa"/>
            <w:gridSpan w:val="2"/>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其他信用认证</w:t>
            </w:r>
          </w:p>
        </w:tc>
        <w:tc>
          <w:tcPr>
            <w:tcW w:w="2369" w:type="dxa"/>
            <w:gridSpan w:val="4"/>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sym w:font="Wingdings 2" w:char="00A3"/>
            </w:r>
            <w:r>
              <w:rPr>
                <w:rFonts w:eastAsia="仿宋_GB2312"/>
                <w:szCs w:val="24"/>
              </w:rPr>
              <w:t xml:space="preserve">有       </w:t>
            </w:r>
            <w:r>
              <w:rPr>
                <w:rFonts w:eastAsia="仿宋_GB2312"/>
                <w:szCs w:val="24"/>
              </w:rPr>
              <w:sym w:font="Wingdings 2" w:char="00A3"/>
            </w:r>
            <w:r>
              <w:rPr>
                <w:rFonts w:eastAsia="仿宋_GB2312"/>
                <w:szCs w:val="24"/>
              </w:rPr>
              <w:t>无</w:t>
            </w:r>
          </w:p>
        </w:tc>
        <w:tc>
          <w:tcPr>
            <w:tcW w:w="2417" w:type="dxa"/>
            <w:gridSpan w:val="5"/>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认定单位</w:t>
            </w:r>
          </w:p>
        </w:tc>
        <w:tc>
          <w:tcPr>
            <w:tcW w:w="1916" w:type="dxa"/>
            <w:gridSpan w:val="4"/>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restart"/>
            <w:vAlign w:val="center"/>
          </w:tcPr>
          <w:p>
            <w:pPr>
              <w:pStyle w:val="47"/>
              <w:widowControl w:val="0"/>
              <w:overflowPunct w:val="0"/>
              <w:topLinePunct/>
              <w:spacing w:before="89" w:line="300" w:lineRule="exact"/>
              <w:jc w:val="center"/>
              <w:rPr>
                <w:rFonts w:eastAsia="仿宋_GB2312"/>
                <w:szCs w:val="24"/>
              </w:rPr>
            </w:pPr>
            <w:r>
              <w:rPr>
                <w:rFonts w:eastAsia="仿宋_GB2312"/>
                <w:szCs w:val="24"/>
              </w:rPr>
              <w:t>企业获得的主要荣誉</w:t>
            </w:r>
          </w:p>
        </w:tc>
        <w:tc>
          <w:tcPr>
            <w:tcW w:w="2369" w:type="dxa"/>
            <w:gridSpan w:val="4"/>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国家荣誉</w:t>
            </w:r>
          </w:p>
        </w:tc>
        <w:tc>
          <w:tcPr>
            <w:tcW w:w="4333" w:type="dxa"/>
            <w:gridSpan w:val="9"/>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pStyle w:val="47"/>
              <w:widowControl w:val="0"/>
              <w:overflowPunct w:val="0"/>
              <w:topLinePunct/>
              <w:spacing w:before="89" w:line="300" w:lineRule="exact"/>
              <w:ind w:right="1"/>
              <w:jc w:val="center"/>
              <w:rPr>
                <w:rFonts w:eastAsia="仿宋_GB2312"/>
                <w:szCs w:val="24"/>
              </w:rPr>
            </w:pPr>
          </w:p>
        </w:tc>
        <w:tc>
          <w:tcPr>
            <w:tcW w:w="2369" w:type="dxa"/>
            <w:gridSpan w:val="4"/>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省级荣誉</w:t>
            </w:r>
          </w:p>
        </w:tc>
        <w:tc>
          <w:tcPr>
            <w:tcW w:w="4333" w:type="dxa"/>
            <w:gridSpan w:val="9"/>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vMerge w:val="continue"/>
            <w:vAlign w:val="center"/>
          </w:tcPr>
          <w:p>
            <w:pPr>
              <w:pStyle w:val="47"/>
              <w:widowControl w:val="0"/>
              <w:overflowPunct w:val="0"/>
              <w:topLinePunct/>
              <w:spacing w:before="89" w:line="300" w:lineRule="exact"/>
              <w:ind w:right="1"/>
              <w:jc w:val="center"/>
              <w:rPr>
                <w:rFonts w:eastAsia="仿宋_GB2312"/>
                <w:szCs w:val="24"/>
              </w:rPr>
            </w:pPr>
          </w:p>
        </w:tc>
        <w:tc>
          <w:tcPr>
            <w:tcW w:w="2369" w:type="dxa"/>
            <w:gridSpan w:val="4"/>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市级荣誉</w:t>
            </w:r>
          </w:p>
        </w:tc>
        <w:tc>
          <w:tcPr>
            <w:tcW w:w="4333" w:type="dxa"/>
            <w:gridSpan w:val="9"/>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restart"/>
            <w:vAlign w:val="center"/>
          </w:tcPr>
          <w:p>
            <w:pPr>
              <w:overflowPunct w:val="0"/>
              <w:topLinePunct/>
              <w:spacing w:line="300" w:lineRule="exact"/>
              <w:jc w:val="center"/>
              <w:rPr>
                <w:rFonts w:eastAsia="仿宋_GB2312"/>
                <w:sz w:val="24"/>
              </w:rPr>
            </w:pPr>
            <w:r>
              <w:rPr>
                <w:rFonts w:eastAsia="仿宋_GB2312"/>
                <w:sz w:val="24"/>
              </w:rPr>
              <w:t>企业近年来经营情况</w:t>
            </w:r>
          </w:p>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p>
        </w:tc>
        <w:tc>
          <w:tcPr>
            <w:tcW w:w="900" w:type="dxa"/>
            <w:gridSpan w:val="2"/>
            <w:vAlign w:val="center"/>
          </w:tcPr>
          <w:p>
            <w:pPr>
              <w:overflowPunct w:val="0"/>
              <w:topLinePunct/>
              <w:spacing w:line="300" w:lineRule="exact"/>
              <w:jc w:val="center"/>
              <w:rPr>
                <w:rFonts w:eastAsia="仿宋_GB2312"/>
                <w:sz w:val="24"/>
              </w:rPr>
            </w:pPr>
            <w:r>
              <w:rPr>
                <w:rFonts w:eastAsia="仿宋_GB2312"/>
                <w:sz w:val="24"/>
              </w:rPr>
              <w:t>前三年度</w:t>
            </w:r>
          </w:p>
        </w:tc>
        <w:tc>
          <w:tcPr>
            <w:tcW w:w="1260" w:type="dxa"/>
            <w:gridSpan w:val="3"/>
            <w:vAlign w:val="center"/>
          </w:tcPr>
          <w:p>
            <w:pPr>
              <w:overflowPunct w:val="0"/>
              <w:topLinePunct/>
              <w:spacing w:line="300" w:lineRule="exact"/>
              <w:jc w:val="center"/>
              <w:rPr>
                <w:rFonts w:eastAsia="仿宋_GB2312"/>
                <w:sz w:val="24"/>
              </w:rPr>
            </w:pPr>
            <w:r>
              <w:rPr>
                <w:rFonts w:eastAsia="仿宋_GB2312"/>
                <w:sz w:val="24"/>
              </w:rPr>
              <w:t>前二年度</w:t>
            </w:r>
          </w:p>
        </w:tc>
        <w:tc>
          <w:tcPr>
            <w:tcW w:w="1260" w:type="dxa"/>
            <w:gridSpan w:val="3"/>
            <w:vAlign w:val="center"/>
          </w:tcPr>
          <w:p>
            <w:pPr>
              <w:overflowPunct w:val="0"/>
              <w:topLinePunct/>
              <w:spacing w:line="300" w:lineRule="exact"/>
              <w:jc w:val="center"/>
              <w:rPr>
                <w:rFonts w:eastAsia="仿宋_GB2312"/>
                <w:sz w:val="24"/>
              </w:rPr>
            </w:pPr>
            <w:r>
              <w:rPr>
                <w:rFonts w:eastAsia="仿宋_GB2312"/>
                <w:sz w:val="24"/>
              </w:rPr>
              <w:t>前一年度</w:t>
            </w:r>
          </w:p>
        </w:tc>
        <w:tc>
          <w:tcPr>
            <w:tcW w:w="1215" w:type="dxa"/>
            <w:gridSpan w:val="2"/>
            <w:vAlign w:val="center"/>
          </w:tcPr>
          <w:p>
            <w:pPr>
              <w:overflowPunct w:val="0"/>
              <w:topLinePunct/>
              <w:spacing w:line="300" w:lineRule="exact"/>
              <w:jc w:val="center"/>
              <w:rPr>
                <w:rFonts w:eastAsia="仿宋_GB2312"/>
                <w:sz w:val="24"/>
              </w:rPr>
            </w:pPr>
            <w:r>
              <w:rPr>
                <w:rFonts w:eastAsia="仿宋_GB2312"/>
                <w:sz w:val="24"/>
              </w:rPr>
              <w:t>本年预计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销售收入（万元）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主营业务收入</w:t>
            </w:r>
          </w:p>
          <w:p>
            <w:pPr>
              <w:overflowPunct w:val="0"/>
              <w:topLinePunct/>
              <w:spacing w:line="300" w:lineRule="exact"/>
              <w:jc w:val="center"/>
              <w:rPr>
                <w:rFonts w:eastAsia="仿宋_GB2312"/>
                <w:sz w:val="24"/>
              </w:rPr>
            </w:pPr>
            <w:r>
              <w:rPr>
                <w:rFonts w:eastAsia="仿宋_GB2312"/>
                <w:sz w:val="24"/>
              </w:rPr>
              <w:t>（万元）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销售利润</w:t>
            </w:r>
          </w:p>
          <w:p>
            <w:pPr>
              <w:overflowPunct w:val="0"/>
              <w:topLinePunct/>
              <w:spacing w:line="300" w:lineRule="exact"/>
              <w:jc w:val="center"/>
              <w:rPr>
                <w:rFonts w:eastAsia="仿宋_GB2312"/>
                <w:sz w:val="24"/>
              </w:rPr>
            </w:pPr>
            <w:r>
              <w:rPr>
                <w:rFonts w:eastAsia="仿宋_GB2312"/>
                <w:sz w:val="24"/>
              </w:rPr>
              <w:t>（万元）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净利润</w:t>
            </w:r>
          </w:p>
          <w:p>
            <w:pPr>
              <w:overflowPunct w:val="0"/>
              <w:topLinePunct/>
              <w:spacing w:line="300" w:lineRule="exact"/>
              <w:jc w:val="center"/>
              <w:rPr>
                <w:rFonts w:eastAsia="仿宋_GB2312"/>
                <w:sz w:val="24"/>
              </w:rPr>
            </w:pPr>
            <w:r>
              <w:rPr>
                <w:rFonts w:eastAsia="仿宋_GB2312"/>
                <w:sz w:val="24"/>
              </w:rPr>
              <w:t>（万元）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应缴税金</w:t>
            </w:r>
          </w:p>
          <w:p>
            <w:pPr>
              <w:overflowPunct w:val="0"/>
              <w:topLinePunct/>
              <w:spacing w:line="300" w:lineRule="exact"/>
              <w:jc w:val="center"/>
              <w:rPr>
                <w:rFonts w:eastAsia="仿宋_GB2312"/>
                <w:sz w:val="24"/>
              </w:rPr>
            </w:pPr>
            <w:r>
              <w:rPr>
                <w:rFonts w:eastAsia="仿宋_GB2312"/>
                <w:sz w:val="24"/>
              </w:rPr>
              <w:t>（万元）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应收账款</w:t>
            </w:r>
          </w:p>
          <w:p>
            <w:pPr>
              <w:overflowPunct w:val="0"/>
              <w:topLinePunct/>
              <w:spacing w:line="300" w:lineRule="exact"/>
              <w:jc w:val="center"/>
              <w:rPr>
                <w:rFonts w:eastAsia="仿宋_GB2312"/>
                <w:sz w:val="24"/>
              </w:rPr>
            </w:pPr>
            <w:r>
              <w:rPr>
                <w:rFonts w:eastAsia="仿宋_GB2312"/>
                <w:sz w:val="24"/>
              </w:rPr>
              <w:t>（万元）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固定资产</w:t>
            </w:r>
          </w:p>
          <w:p>
            <w:pPr>
              <w:overflowPunct w:val="0"/>
              <w:topLinePunct/>
              <w:spacing w:line="300" w:lineRule="exact"/>
              <w:jc w:val="center"/>
              <w:rPr>
                <w:rFonts w:eastAsia="仿宋_GB2312"/>
                <w:sz w:val="24"/>
              </w:rPr>
            </w:pPr>
            <w:r>
              <w:rPr>
                <w:rFonts w:eastAsia="仿宋_GB2312"/>
                <w:sz w:val="24"/>
              </w:rPr>
              <w:t>（万元）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净资产</w:t>
            </w:r>
          </w:p>
          <w:p>
            <w:pPr>
              <w:overflowPunct w:val="0"/>
              <w:topLinePunct/>
              <w:spacing w:line="300" w:lineRule="exact"/>
              <w:jc w:val="center"/>
              <w:rPr>
                <w:rFonts w:eastAsia="仿宋_GB2312"/>
                <w:sz w:val="24"/>
              </w:rPr>
            </w:pPr>
            <w:r>
              <w:rPr>
                <w:rFonts w:eastAsia="仿宋_GB2312"/>
                <w:sz w:val="24"/>
              </w:rPr>
              <w:t>（万元）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年末从业人员数</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其中：中级以上职称人数</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从事节能环保专职人数</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员工平均年收入</w:t>
            </w:r>
          </w:p>
          <w:p>
            <w:pPr>
              <w:overflowPunct w:val="0"/>
              <w:topLinePunct/>
              <w:spacing w:line="300" w:lineRule="exact"/>
              <w:jc w:val="center"/>
              <w:rPr>
                <w:rFonts w:eastAsia="仿宋_GB2312"/>
                <w:sz w:val="24"/>
              </w:rPr>
            </w:pPr>
            <w:r>
              <w:rPr>
                <w:rFonts w:eastAsia="仿宋_GB2312"/>
                <w:sz w:val="24"/>
              </w:rPr>
              <w:t>（万元）</w:t>
            </w:r>
          </w:p>
        </w:tc>
        <w:tc>
          <w:tcPr>
            <w:tcW w:w="900" w:type="dxa"/>
            <w:gridSpan w:val="2"/>
            <w:vAlign w:val="center"/>
          </w:tcPr>
          <w:p>
            <w:pPr>
              <w:overflowPunct w:val="0"/>
              <w:topLinePunct/>
              <w:spacing w:line="300" w:lineRule="exact"/>
              <w:jc w:val="center"/>
              <w:rPr>
                <w:rFonts w:eastAsia="仿宋_GB2312"/>
              </w:rPr>
            </w:pPr>
          </w:p>
        </w:tc>
        <w:tc>
          <w:tcPr>
            <w:tcW w:w="1260" w:type="dxa"/>
            <w:gridSpan w:val="3"/>
            <w:vAlign w:val="center"/>
          </w:tcPr>
          <w:p>
            <w:pPr>
              <w:overflowPunct w:val="0"/>
              <w:topLinePunct/>
              <w:spacing w:line="300" w:lineRule="exact"/>
              <w:jc w:val="center"/>
              <w:rPr>
                <w:rFonts w:eastAsia="仿宋_GB2312"/>
              </w:rPr>
            </w:pPr>
          </w:p>
        </w:tc>
        <w:tc>
          <w:tcPr>
            <w:tcW w:w="126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215" w:type="dxa"/>
            <w:gridSpan w:val="2"/>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restart"/>
            <w:vAlign w:val="center"/>
          </w:tcPr>
          <w:p>
            <w:pPr>
              <w:overflowPunct w:val="0"/>
              <w:topLinePunct/>
              <w:spacing w:line="300" w:lineRule="exact"/>
              <w:jc w:val="center"/>
              <w:rPr>
                <w:rFonts w:eastAsia="仿宋_GB2312"/>
                <w:sz w:val="24"/>
              </w:rPr>
            </w:pPr>
            <w:r>
              <w:rPr>
                <w:rFonts w:eastAsia="仿宋_GB2312"/>
                <w:sz w:val="24"/>
              </w:rPr>
              <w:t>能源消耗</w:t>
            </w:r>
          </w:p>
          <w:p>
            <w:pPr>
              <w:overflowPunct w:val="0"/>
              <w:topLinePunct/>
              <w:spacing w:line="300" w:lineRule="exact"/>
              <w:jc w:val="center"/>
              <w:rPr>
                <w:rFonts w:eastAsia="仿宋_GB2312"/>
                <w:sz w:val="24"/>
              </w:rPr>
            </w:pPr>
            <w:r>
              <w:rPr>
                <w:rFonts w:eastAsia="仿宋_GB2312"/>
                <w:sz w:val="24"/>
              </w:rPr>
              <w:t>情况</w:t>
            </w:r>
          </w:p>
        </w:tc>
        <w:tc>
          <w:tcPr>
            <w:tcW w:w="2342" w:type="dxa"/>
            <w:gridSpan w:val="4"/>
            <w:vAlign w:val="center"/>
          </w:tcPr>
          <w:p>
            <w:pPr>
              <w:overflowPunct w:val="0"/>
              <w:topLinePunct/>
              <w:spacing w:line="300" w:lineRule="exact"/>
              <w:jc w:val="center"/>
              <w:rPr>
                <w:rFonts w:eastAsia="仿宋_GB2312"/>
                <w:sz w:val="24"/>
              </w:rPr>
            </w:pPr>
            <w:r>
              <w:rPr>
                <w:rFonts w:eastAsia="仿宋_GB2312"/>
                <w:sz w:val="24"/>
              </w:rPr>
              <w:t>年综合能耗</w:t>
            </w:r>
          </w:p>
          <w:p>
            <w:pPr>
              <w:overflowPunct w:val="0"/>
              <w:topLinePunct/>
              <w:spacing w:line="300" w:lineRule="exact"/>
              <w:jc w:val="center"/>
              <w:rPr>
                <w:rFonts w:eastAsia="仿宋_GB2312"/>
              </w:rPr>
            </w:pPr>
            <w:r>
              <w:rPr>
                <w:rFonts w:eastAsia="仿宋_GB2312"/>
                <w:sz w:val="24"/>
              </w:rPr>
              <w:t>（吨标准煤）</w:t>
            </w:r>
          </w:p>
        </w:tc>
        <w:tc>
          <w:tcPr>
            <w:tcW w:w="4635" w:type="dxa"/>
            <w:gridSpan w:val="10"/>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773" w:type="dxa"/>
            <w:gridSpan w:val="3"/>
            <w:vMerge w:val="restart"/>
            <w:vAlign w:val="center"/>
          </w:tcPr>
          <w:p>
            <w:pPr>
              <w:overflowPunct w:val="0"/>
              <w:topLinePunct/>
              <w:spacing w:line="300" w:lineRule="exact"/>
              <w:rPr>
                <w:rFonts w:eastAsia="仿宋_GB2312"/>
                <w:sz w:val="24"/>
              </w:rPr>
            </w:pPr>
            <w:r>
              <w:rPr>
                <w:rFonts w:eastAsia="仿宋_GB2312"/>
                <w:sz w:val="24"/>
              </w:rPr>
              <w:t>单耗情况</w:t>
            </w:r>
          </w:p>
        </w:tc>
        <w:tc>
          <w:tcPr>
            <w:tcW w:w="1569" w:type="dxa"/>
            <w:vAlign w:val="center"/>
          </w:tcPr>
          <w:p>
            <w:pPr>
              <w:overflowPunct w:val="0"/>
              <w:topLinePunct/>
              <w:spacing w:line="300" w:lineRule="exact"/>
              <w:jc w:val="center"/>
              <w:rPr>
                <w:rFonts w:eastAsia="仿宋_GB2312"/>
              </w:rPr>
            </w:pPr>
            <w:r>
              <w:rPr>
                <w:rFonts w:eastAsia="仿宋_GB2312"/>
                <w:sz w:val="24"/>
              </w:rPr>
              <w:t>能耗（吨标煤/万元产值）</w:t>
            </w:r>
          </w:p>
        </w:tc>
        <w:tc>
          <w:tcPr>
            <w:tcW w:w="1260" w:type="dxa"/>
            <w:gridSpan w:val="3"/>
            <w:vAlign w:val="center"/>
          </w:tcPr>
          <w:p>
            <w:pPr>
              <w:overflowPunct w:val="0"/>
              <w:topLinePunct/>
              <w:spacing w:line="300" w:lineRule="exact"/>
              <w:rPr>
                <w:rFonts w:eastAsia="仿宋_GB2312"/>
              </w:rPr>
            </w:pPr>
          </w:p>
        </w:tc>
        <w:tc>
          <w:tcPr>
            <w:tcW w:w="2340" w:type="dxa"/>
            <w:gridSpan w:val="6"/>
            <w:vAlign w:val="center"/>
          </w:tcPr>
          <w:p>
            <w:pPr>
              <w:pStyle w:val="47"/>
              <w:widowControl w:val="0"/>
              <w:overflowPunct w:val="0"/>
              <w:topLinePunct/>
              <w:spacing w:before="89" w:line="300" w:lineRule="exact"/>
              <w:ind w:right="1"/>
              <w:rPr>
                <w:rFonts w:eastAsia="仿宋_GB2312"/>
                <w:szCs w:val="24"/>
              </w:rPr>
            </w:pPr>
            <w:r>
              <w:rPr>
                <w:rFonts w:eastAsia="仿宋_GB2312"/>
                <w:szCs w:val="24"/>
              </w:rPr>
              <w:t>行业平均值：</w:t>
            </w:r>
          </w:p>
        </w:tc>
        <w:tc>
          <w:tcPr>
            <w:tcW w:w="1035" w:type="dxa"/>
            <w:vMerge w:val="restart"/>
            <w:vAlign w:val="center"/>
          </w:tcPr>
          <w:p>
            <w:pPr>
              <w:pStyle w:val="47"/>
              <w:widowControl w:val="0"/>
              <w:overflowPunct w:val="0"/>
              <w:topLinePunct/>
              <w:spacing w:before="89" w:line="300" w:lineRule="exact"/>
              <w:jc w:val="center"/>
              <w:rPr>
                <w:rFonts w:eastAsia="仿宋_GB2312"/>
                <w:sz w:val="18"/>
                <w:szCs w:val="18"/>
              </w:rPr>
            </w:pPr>
            <w:r>
              <w:rPr>
                <w:rFonts w:eastAsia="仿宋_GB2312"/>
                <w:sz w:val="18"/>
                <w:szCs w:val="18"/>
              </w:rPr>
              <w:t>根据企业实际选择填写单耗情况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773" w:type="dxa"/>
            <w:gridSpan w:val="3"/>
            <w:vMerge w:val="continue"/>
            <w:vAlign w:val="center"/>
          </w:tcPr>
          <w:p>
            <w:pPr>
              <w:overflowPunct w:val="0"/>
              <w:topLinePunct/>
              <w:spacing w:line="300" w:lineRule="exact"/>
              <w:jc w:val="center"/>
              <w:rPr>
                <w:rFonts w:eastAsia="仿宋_GB2312"/>
              </w:rPr>
            </w:pPr>
          </w:p>
        </w:tc>
        <w:tc>
          <w:tcPr>
            <w:tcW w:w="1569" w:type="dxa"/>
            <w:vAlign w:val="center"/>
          </w:tcPr>
          <w:p>
            <w:pPr>
              <w:overflowPunct w:val="0"/>
              <w:topLinePunct/>
              <w:spacing w:line="300" w:lineRule="exact"/>
              <w:jc w:val="center"/>
              <w:rPr>
                <w:rFonts w:eastAsia="仿宋_GB2312"/>
              </w:rPr>
            </w:pPr>
            <w:r>
              <w:rPr>
                <w:rFonts w:eastAsia="仿宋_GB2312"/>
                <w:sz w:val="24"/>
              </w:rPr>
              <w:t>电耗（千瓦时/万元产值）</w:t>
            </w:r>
          </w:p>
        </w:tc>
        <w:tc>
          <w:tcPr>
            <w:tcW w:w="1260" w:type="dxa"/>
            <w:gridSpan w:val="3"/>
            <w:vAlign w:val="center"/>
          </w:tcPr>
          <w:p>
            <w:pPr>
              <w:overflowPunct w:val="0"/>
              <w:topLinePunct/>
              <w:spacing w:line="300" w:lineRule="exact"/>
              <w:rPr>
                <w:rFonts w:eastAsia="仿宋_GB2312"/>
              </w:rPr>
            </w:pPr>
          </w:p>
        </w:tc>
        <w:tc>
          <w:tcPr>
            <w:tcW w:w="2340" w:type="dxa"/>
            <w:gridSpan w:val="6"/>
            <w:vAlign w:val="center"/>
          </w:tcPr>
          <w:p>
            <w:pPr>
              <w:pStyle w:val="47"/>
              <w:widowControl w:val="0"/>
              <w:overflowPunct w:val="0"/>
              <w:topLinePunct/>
              <w:spacing w:before="89" w:line="300" w:lineRule="exact"/>
              <w:ind w:right="1"/>
              <w:rPr>
                <w:rFonts w:eastAsia="仿宋_GB2312"/>
                <w:szCs w:val="24"/>
              </w:rPr>
            </w:pPr>
            <w:r>
              <w:rPr>
                <w:rFonts w:eastAsia="仿宋_GB2312"/>
                <w:szCs w:val="24"/>
              </w:rPr>
              <w:t>行业平均值：</w:t>
            </w:r>
          </w:p>
        </w:tc>
        <w:tc>
          <w:tcPr>
            <w:tcW w:w="1035" w:type="dxa"/>
            <w:vMerge w:val="continue"/>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773" w:type="dxa"/>
            <w:gridSpan w:val="3"/>
            <w:vMerge w:val="continue"/>
            <w:vAlign w:val="center"/>
          </w:tcPr>
          <w:p>
            <w:pPr>
              <w:overflowPunct w:val="0"/>
              <w:topLinePunct/>
              <w:spacing w:line="300" w:lineRule="exact"/>
              <w:jc w:val="center"/>
              <w:rPr>
                <w:rFonts w:eastAsia="仿宋_GB2312"/>
              </w:rPr>
            </w:pPr>
          </w:p>
        </w:tc>
        <w:tc>
          <w:tcPr>
            <w:tcW w:w="1569" w:type="dxa"/>
            <w:vAlign w:val="center"/>
          </w:tcPr>
          <w:p>
            <w:pPr>
              <w:overflowPunct w:val="0"/>
              <w:topLinePunct/>
              <w:spacing w:line="300" w:lineRule="exact"/>
              <w:jc w:val="center"/>
              <w:rPr>
                <w:rFonts w:eastAsia="仿宋_GB2312"/>
              </w:rPr>
            </w:pPr>
            <w:r>
              <w:rPr>
                <w:rFonts w:eastAsia="仿宋_GB2312"/>
                <w:sz w:val="24"/>
              </w:rPr>
              <w:t>水耗（吨/万元产值）</w:t>
            </w:r>
          </w:p>
        </w:tc>
        <w:tc>
          <w:tcPr>
            <w:tcW w:w="1260" w:type="dxa"/>
            <w:gridSpan w:val="3"/>
            <w:vAlign w:val="center"/>
          </w:tcPr>
          <w:p>
            <w:pPr>
              <w:overflowPunct w:val="0"/>
              <w:topLinePunct/>
              <w:spacing w:line="300" w:lineRule="exact"/>
              <w:rPr>
                <w:rFonts w:eastAsia="仿宋_GB2312"/>
              </w:rPr>
            </w:pPr>
          </w:p>
        </w:tc>
        <w:tc>
          <w:tcPr>
            <w:tcW w:w="2340" w:type="dxa"/>
            <w:gridSpan w:val="6"/>
            <w:vAlign w:val="center"/>
          </w:tcPr>
          <w:p>
            <w:pPr>
              <w:pStyle w:val="47"/>
              <w:widowControl w:val="0"/>
              <w:overflowPunct w:val="0"/>
              <w:topLinePunct/>
              <w:spacing w:before="89" w:line="300" w:lineRule="exact"/>
              <w:ind w:right="1"/>
              <w:rPr>
                <w:rFonts w:eastAsia="仿宋_GB2312"/>
                <w:szCs w:val="24"/>
              </w:rPr>
            </w:pPr>
            <w:r>
              <w:rPr>
                <w:rFonts w:eastAsia="仿宋_GB2312"/>
                <w:szCs w:val="24"/>
              </w:rPr>
              <w:t>行业平均值：</w:t>
            </w:r>
          </w:p>
        </w:tc>
        <w:tc>
          <w:tcPr>
            <w:tcW w:w="1035" w:type="dxa"/>
            <w:vMerge w:val="continue"/>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773" w:type="dxa"/>
            <w:gridSpan w:val="3"/>
            <w:vMerge w:val="continue"/>
            <w:vAlign w:val="center"/>
          </w:tcPr>
          <w:p>
            <w:pPr>
              <w:overflowPunct w:val="0"/>
              <w:topLinePunct/>
              <w:spacing w:line="300" w:lineRule="exact"/>
              <w:jc w:val="center"/>
              <w:rPr>
                <w:rFonts w:eastAsia="仿宋_GB2312"/>
                <w:sz w:val="24"/>
              </w:rPr>
            </w:pPr>
          </w:p>
        </w:tc>
        <w:tc>
          <w:tcPr>
            <w:tcW w:w="1569" w:type="dxa"/>
            <w:vAlign w:val="center"/>
          </w:tcPr>
          <w:p>
            <w:pPr>
              <w:overflowPunct w:val="0"/>
              <w:topLinePunct/>
              <w:spacing w:line="300" w:lineRule="exact"/>
              <w:jc w:val="center"/>
              <w:rPr>
                <w:rFonts w:eastAsia="仿宋_GB2312"/>
                <w:sz w:val="24"/>
              </w:rPr>
            </w:pPr>
            <w:r>
              <w:rPr>
                <w:rFonts w:eastAsia="仿宋_GB2312"/>
                <w:sz w:val="24"/>
              </w:rPr>
              <w:t>…</w:t>
            </w:r>
          </w:p>
        </w:tc>
        <w:tc>
          <w:tcPr>
            <w:tcW w:w="1260" w:type="dxa"/>
            <w:gridSpan w:val="3"/>
            <w:vAlign w:val="center"/>
          </w:tcPr>
          <w:p>
            <w:pPr>
              <w:overflowPunct w:val="0"/>
              <w:topLinePunct/>
              <w:spacing w:line="300" w:lineRule="exact"/>
              <w:rPr>
                <w:rFonts w:eastAsia="仿宋_GB2312"/>
              </w:rPr>
            </w:pPr>
          </w:p>
        </w:tc>
        <w:tc>
          <w:tcPr>
            <w:tcW w:w="2340" w:type="dxa"/>
            <w:gridSpan w:val="6"/>
            <w:vAlign w:val="center"/>
          </w:tcPr>
          <w:p>
            <w:pPr>
              <w:pStyle w:val="47"/>
              <w:widowControl w:val="0"/>
              <w:overflowPunct w:val="0"/>
              <w:topLinePunct/>
              <w:spacing w:before="89" w:line="300" w:lineRule="exact"/>
              <w:ind w:right="1"/>
              <w:rPr>
                <w:rFonts w:eastAsia="仿宋_GB2312"/>
                <w:szCs w:val="24"/>
              </w:rPr>
            </w:pPr>
          </w:p>
        </w:tc>
        <w:tc>
          <w:tcPr>
            <w:tcW w:w="1035" w:type="dxa"/>
            <w:vMerge w:val="continue"/>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restart"/>
            <w:vAlign w:val="center"/>
          </w:tcPr>
          <w:p>
            <w:pPr>
              <w:overflowPunct w:val="0"/>
              <w:topLinePunct/>
              <w:spacing w:line="300" w:lineRule="exact"/>
              <w:jc w:val="center"/>
              <w:rPr>
                <w:rFonts w:eastAsia="仿宋_GB2312"/>
                <w:sz w:val="24"/>
              </w:rPr>
            </w:pPr>
            <w:r>
              <w:rPr>
                <w:rFonts w:eastAsia="仿宋_GB2312"/>
                <w:sz w:val="24"/>
              </w:rPr>
              <w:t>污染物</w:t>
            </w:r>
          </w:p>
          <w:p>
            <w:pPr>
              <w:overflowPunct w:val="0"/>
              <w:topLinePunct/>
              <w:spacing w:line="300" w:lineRule="exact"/>
              <w:jc w:val="center"/>
              <w:rPr>
                <w:rFonts w:eastAsia="仿宋_GB2312"/>
                <w:sz w:val="24"/>
              </w:rPr>
            </w:pPr>
            <w:r>
              <w:rPr>
                <w:rFonts w:eastAsia="仿宋_GB2312"/>
                <w:sz w:val="24"/>
              </w:rPr>
              <w:t>排放情况</w:t>
            </w:r>
          </w:p>
        </w:tc>
        <w:tc>
          <w:tcPr>
            <w:tcW w:w="2342" w:type="dxa"/>
            <w:gridSpan w:val="4"/>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主要排放物名称</w:t>
            </w:r>
          </w:p>
        </w:tc>
        <w:tc>
          <w:tcPr>
            <w:tcW w:w="1437" w:type="dxa"/>
            <w:gridSpan w:val="4"/>
            <w:vAlign w:val="center"/>
          </w:tcPr>
          <w:p>
            <w:pPr>
              <w:pStyle w:val="47"/>
              <w:widowControl w:val="0"/>
              <w:overflowPunct w:val="0"/>
              <w:topLinePunct/>
              <w:spacing w:before="89" w:line="300" w:lineRule="exact"/>
              <w:ind w:right="1"/>
              <w:jc w:val="center"/>
              <w:rPr>
                <w:rFonts w:eastAsia="仿宋_GB2312"/>
                <w:szCs w:val="24"/>
              </w:rPr>
            </w:pPr>
          </w:p>
        </w:tc>
        <w:tc>
          <w:tcPr>
            <w:tcW w:w="180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398" w:type="dxa"/>
            <w:gridSpan w:val="3"/>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pStyle w:val="47"/>
              <w:widowControl w:val="0"/>
              <w:overflowPunct w:val="0"/>
              <w:topLinePunct/>
              <w:spacing w:before="89" w:line="300" w:lineRule="exact"/>
              <w:ind w:right="1"/>
              <w:jc w:val="center"/>
              <w:rPr>
                <w:rFonts w:eastAsia="仿宋_GB2312"/>
                <w:szCs w:val="24"/>
              </w:rPr>
            </w:pPr>
            <w:r>
              <w:rPr>
                <w:rFonts w:eastAsia="仿宋_GB2312"/>
                <w:szCs w:val="24"/>
              </w:rPr>
              <w:t>排放量（吨/年）</w:t>
            </w:r>
          </w:p>
        </w:tc>
        <w:tc>
          <w:tcPr>
            <w:tcW w:w="1437" w:type="dxa"/>
            <w:gridSpan w:val="4"/>
            <w:vAlign w:val="center"/>
          </w:tcPr>
          <w:p>
            <w:pPr>
              <w:pStyle w:val="47"/>
              <w:widowControl w:val="0"/>
              <w:overflowPunct w:val="0"/>
              <w:topLinePunct/>
              <w:spacing w:before="89" w:line="300" w:lineRule="exact"/>
              <w:ind w:right="1"/>
              <w:jc w:val="center"/>
              <w:rPr>
                <w:rFonts w:eastAsia="仿宋_GB2312"/>
                <w:szCs w:val="24"/>
              </w:rPr>
            </w:pPr>
          </w:p>
        </w:tc>
        <w:tc>
          <w:tcPr>
            <w:tcW w:w="1800" w:type="dxa"/>
            <w:gridSpan w:val="3"/>
            <w:vAlign w:val="center"/>
          </w:tcPr>
          <w:p>
            <w:pPr>
              <w:pStyle w:val="47"/>
              <w:widowControl w:val="0"/>
              <w:overflowPunct w:val="0"/>
              <w:topLinePunct/>
              <w:spacing w:before="89" w:line="300" w:lineRule="exact"/>
              <w:ind w:right="1"/>
              <w:jc w:val="center"/>
              <w:rPr>
                <w:rFonts w:eastAsia="仿宋_GB2312"/>
                <w:szCs w:val="24"/>
              </w:rPr>
            </w:pPr>
          </w:p>
        </w:tc>
        <w:tc>
          <w:tcPr>
            <w:tcW w:w="1398" w:type="dxa"/>
            <w:gridSpan w:val="3"/>
            <w:vAlign w:val="center"/>
          </w:tcPr>
          <w:p>
            <w:pPr>
              <w:pStyle w:val="47"/>
              <w:widowControl w:val="0"/>
              <w:overflowPunct w:val="0"/>
              <w:topLinePunct/>
              <w:spacing w:before="89" w:line="300" w:lineRule="exact"/>
              <w:ind w:right="1"/>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vMerge w:val="continue"/>
            <w:vAlign w:val="center"/>
          </w:tcPr>
          <w:p>
            <w:pPr>
              <w:overflowPunct w:val="0"/>
              <w:topLinePunct/>
              <w:spacing w:line="300" w:lineRule="exact"/>
              <w:jc w:val="center"/>
              <w:rPr>
                <w:rFonts w:eastAsia="仿宋_GB2312"/>
                <w:sz w:val="24"/>
              </w:rPr>
            </w:pPr>
          </w:p>
        </w:tc>
        <w:tc>
          <w:tcPr>
            <w:tcW w:w="2342" w:type="dxa"/>
            <w:gridSpan w:val="4"/>
            <w:vAlign w:val="center"/>
          </w:tcPr>
          <w:p>
            <w:pPr>
              <w:pStyle w:val="47"/>
              <w:widowControl w:val="0"/>
              <w:overflowPunct w:val="0"/>
              <w:topLinePunct/>
              <w:spacing w:line="300" w:lineRule="exact"/>
              <w:jc w:val="center"/>
              <w:rPr>
                <w:rFonts w:eastAsia="仿宋_GB2312"/>
                <w:szCs w:val="24"/>
              </w:rPr>
            </w:pPr>
            <w:r>
              <w:rPr>
                <w:rFonts w:eastAsia="仿宋_GB2312"/>
                <w:szCs w:val="24"/>
              </w:rPr>
              <w:t>是否达标</w:t>
            </w:r>
          </w:p>
        </w:tc>
        <w:tc>
          <w:tcPr>
            <w:tcW w:w="1437" w:type="dxa"/>
            <w:gridSpan w:val="4"/>
            <w:vAlign w:val="center"/>
          </w:tcPr>
          <w:p>
            <w:pPr>
              <w:pStyle w:val="47"/>
              <w:widowControl w:val="0"/>
              <w:overflowPunct w:val="0"/>
              <w:topLinePunct/>
              <w:spacing w:line="300" w:lineRule="exact"/>
              <w:jc w:val="center"/>
              <w:rPr>
                <w:rFonts w:eastAsia="仿宋_GB2312"/>
                <w:szCs w:val="24"/>
              </w:rPr>
            </w:pPr>
          </w:p>
        </w:tc>
        <w:tc>
          <w:tcPr>
            <w:tcW w:w="1800" w:type="dxa"/>
            <w:gridSpan w:val="3"/>
            <w:vAlign w:val="center"/>
          </w:tcPr>
          <w:p>
            <w:pPr>
              <w:pStyle w:val="47"/>
              <w:widowControl w:val="0"/>
              <w:overflowPunct w:val="0"/>
              <w:topLinePunct/>
              <w:spacing w:line="300" w:lineRule="exact"/>
              <w:jc w:val="center"/>
              <w:rPr>
                <w:rFonts w:eastAsia="仿宋_GB2312"/>
                <w:szCs w:val="24"/>
              </w:rPr>
            </w:pPr>
          </w:p>
        </w:tc>
        <w:tc>
          <w:tcPr>
            <w:tcW w:w="1398" w:type="dxa"/>
            <w:gridSpan w:val="3"/>
            <w:vAlign w:val="center"/>
          </w:tcPr>
          <w:p>
            <w:pPr>
              <w:pStyle w:val="47"/>
              <w:widowControl w:val="0"/>
              <w:overflowPunct w:val="0"/>
              <w:topLinePunct/>
              <w:spacing w:line="300" w:lineRule="exact"/>
              <w:jc w:val="center"/>
              <w:rPr>
                <w:rFonts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gridSpan w:val="3"/>
            <w:vAlign w:val="center"/>
          </w:tcPr>
          <w:p>
            <w:pPr>
              <w:overflowPunct w:val="0"/>
              <w:topLinePunct/>
              <w:spacing w:line="300" w:lineRule="exact"/>
              <w:jc w:val="center"/>
              <w:rPr>
                <w:rFonts w:eastAsia="仿宋_GB2312"/>
                <w:sz w:val="24"/>
              </w:rPr>
            </w:pPr>
            <w:r>
              <w:rPr>
                <w:rFonts w:eastAsia="仿宋_GB2312"/>
                <w:sz w:val="24"/>
              </w:rPr>
              <w:t>创新机构级别</w:t>
            </w:r>
          </w:p>
          <w:p>
            <w:pPr>
              <w:overflowPunct w:val="0"/>
              <w:topLinePunct/>
              <w:spacing w:line="300" w:lineRule="exact"/>
              <w:jc w:val="center"/>
              <w:rPr>
                <w:rFonts w:eastAsia="仿宋_GB2312"/>
                <w:sz w:val="24"/>
              </w:rPr>
            </w:pPr>
            <w:r>
              <w:rPr>
                <w:rFonts w:eastAsia="仿宋_GB2312"/>
                <w:sz w:val="24"/>
              </w:rPr>
              <w:t>（可复选）</w:t>
            </w:r>
          </w:p>
        </w:tc>
        <w:tc>
          <w:tcPr>
            <w:tcW w:w="6437" w:type="dxa"/>
            <w:gridSpan w:val="12"/>
            <w:vAlign w:val="center"/>
          </w:tcPr>
          <w:p>
            <w:pPr>
              <w:overflowPunct w:val="0"/>
              <w:topLinePunct/>
              <w:spacing w:line="300" w:lineRule="exact"/>
              <w:jc w:val="left"/>
              <w:rPr>
                <w:rFonts w:ascii="仿宋_GB2312" w:eastAsia="仿宋_GB2312"/>
                <w:sz w:val="24"/>
              </w:rPr>
            </w:pPr>
            <w:r>
              <w:rPr>
                <w:rFonts w:hint="eastAsia" w:ascii="仿宋_GB2312" w:eastAsia="仿宋_GB2312"/>
                <w:sz w:val="24"/>
              </w:rPr>
              <w:t>□国家级    □省级    □市级    □企业级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gridSpan w:val="3"/>
            <w:vAlign w:val="center"/>
          </w:tcPr>
          <w:p>
            <w:pPr>
              <w:overflowPunct w:val="0"/>
              <w:topLinePunct/>
              <w:spacing w:line="300" w:lineRule="exact"/>
              <w:jc w:val="center"/>
              <w:rPr>
                <w:rFonts w:eastAsia="仿宋_GB2312"/>
                <w:sz w:val="24"/>
              </w:rPr>
            </w:pPr>
            <w:r>
              <w:rPr>
                <w:rFonts w:eastAsia="仿宋_GB2312"/>
                <w:sz w:val="24"/>
              </w:rPr>
              <w:t>创新机构名称</w:t>
            </w:r>
          </w:p>
          <w:p>
            <w:pPr>
              <w:overflowPunct w:val="0"/>
              <w:topLinePunct/>
              <w:spacing w:line="300" w:lineRule="exact"/>
              <w:jc w:val="center"/>
              <w:rPr>
                <w:rFonts w:eastAsia="仿宋_GB2312"/>
                <w:sz w:val="24"/>
              </w:rPr>
            </w:pPr>
            <w:r>
              <w:rPr>
                <w:rFonts w:eastAsia="仿宋_GB2312"/>
                <w:sz w:val="24"/>
              </w:rPr>
              <w:t>（可复选）</w:t>
            </w:r>
          </w:p>
        </w:tc>
        <w:tc>
          <w:tcPr>
            <w:tcW w:w="6437" w:type="dxa"/>
            <w:gridSpan w:val="12"/>
            <w:vAlign w:val="center"/>
          </w:tcPr>
          <w:p>
            <w:pPr>
              <w:overflowPunct w:val="0"/>
              <w:topLinePunct/>
              <w:spacing w:line="300" w:lineRule="exact"/>
              <w:jc w:val="left"/>
              <w:rPr>
                <w:rFonts w:ascii="仿宋_GB2312" w:eastAsia="仿宋_GB2312"/>
                <w:sz w:val="24"/>
              </w:rPr>
            </w:pPr>
            <w:r>
              <w:rPr>
                <w:rFonts w:hint="eastAsia" w:ascii="仿宋_GB2312" w:eastAsia="仿宋_GB2312"/>
                <w:sz w:val="24"/>
              </w:rPr>
              <w:t xml:space="preserve">□企业技术中心  □工程技术研究中心  □重点实验室    □院士工作站    □博士后工作站      □创新型企业 </w:t>
            </w:r>
          </w:p>
          <w:p>
            <w:pPr>
              <w:overflowPunct w:val="0"/>
              <w:topLinePunct/>
              <w:spacing w:line="300" w:lineRule="exact"/>
              <w:jc w:val="left"/>
              <w:rPr>
                <w:rFonts w:ascii="仿宋_GB2312" w:eastAsia="仿宋_GB2312"/>
                <w:sz w:val="24"/>
              </w:rPr>
            </w:pPr>
            <w:r>
              <w:rPr>
                <w:rFonts w:hint="eastAsia" w:ascii="仿宋_GB2312" w:eastAsia="仿宋_GB2312"/>
                <w:sz w:val="24"/>
              </w:rPr>
              <w:t xml:space="preserve">□节水型企业    □两化融合          □能源管理中心 </w:t>
            </w:r>
          </w:p>
          <w:p>
            <w:pPr>
              <w:overflowPunct w:val="0"/>
              <w:topLinePunct/>
              <w:spacing w:line="300" w:lineRule="exact"/>
              <w:jc w:val="left"/>
              <w:rPr>
                <w:rFonts w:ascii="仿宋_GB2312" w:eastAsia="仿宋_GB2312"/>
                <w:sz w:val="24"/>
              </w:rPr>
            </w:pPr>
            <w:r>
              <w:rPr>
                <w:rFonts w:hint="eastAsia" w:ascii="仿宋_GB2312"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gridSpan w:val="3"/>
            <w:vAlign w:val="center"/>
          </w:tcPr>
          <w:p>
            <w:pPr>
              <w:overflowPunct w:val="0"/>
              <w:topLinePunct/>
              <w:spacing w:line="300" w:lineRule="exact"/>
              <w:jc w:val="center"/>
              <w:rPr>
                <w:rFonts w:eastAsia="仿宋_GB2312"/>
                <w:sz w:val="24"/>
              </w:rPr>
            </w:pPr>
            <w:r>
              <w:rPr>
                <w:rFonts w:eastAsia="仿宋_GB2312"/>
                <w:sz w:val="24"/>
              </w:rPr>
              <w:t>体系认证</w:t>
            </w:r>
          </w:p>
          <w:p>
            <w:pPr>
              <w:overflowPunct w:val="0"/>
              <w:topLinePunct/>
              <w:spacing w:line="300" w:lineRule="exact"/>
              <w:jc w:val="center"/>
              <w:rPr>
                <w:rFonts w:eastAsia="仿宋_GB2312"/>
                <w:sz w:val="24"/>
              </w:rPr>
            </w:pPr>
            <w:r>
              <w:rPr>
                <w:rFonts w:eastAsia="仿宋_GB2312"/>
                <w:sz w:val="24"/>
              </w:rPr>
              <w:t>（可复选）</w:t>
            </w:r>
          </w:p>
        </w:tc>
        <w:tc>
          <w:tcPr>
            <w:tcW w:w="6437" w:type="dxa"/>
            <w:gridSpan w:val="12"/>
            <w:vAlign w:val="center"/>
          </w:tcPr>
          <w:p>
            <w:pPr>
              <w:overflowPunct w:val="0"/>
              <w:topLinePunct/>
              <w:spacing w:line="300" w:lineRule="exact"/>
              <w:jc w:val="left"/>
              <w:rPr>
                <w:rFonts w:ascii="仿宋_GB2312" w:eastAsia="仿宋_GB2312"/>
                <w:sz w:val="24"/>
              </w:rPr>
            </w:pPr>
            <w:r>
              <w:rPr>
                <w:rFonts w:hint="eastAsia" w:ascii="仿宋_GB2312" w:eastAsia="仿宋_GB2312"/>
                <w:sz w:val="24"/>
              </w:rPr>
              <w:t xml:space="preserve">□质量体系认证          □环境体系认证  </w:t>
            </w:r>
          </w:p>
          <w:p>
            <w:pPr>
              <w:overflowPunct w:val="0"/>
              <w:topLinePunct/>
              <w:spacing w:line="300" w:lineRule="exact"/>
              <w:jc w:val="left"/>
              <w:rPr>
                <w:rFonts w:ascii="仿宋_GB2312" w:eastAsia="仿宋_GB2312"/>
                <w:sz w:val="24"/>
              </w:rPr>
            </w:pPr>
            <w:r>
              <w:rPr>
                <w:rFonts w:hint="eastAsia" w:ascii="仿宋_GB2312" w:eastAsia="仿宋_GB2312"/>
                <w:sz w:val="24"/>
              </w:rPr>
              <w:t xml:space="preserve">□职业健康安全体系认证  □能源管理体系认证 </w:t>
            </w:r>
          </w:p>
          <w:p>
            <w:pPr>
              <w:overflowPunct w:val="0"/>
              <w:topLinePunct/>
              <w:spacing w:line="300" w:lineRule="exact"/>
              <w:jc w:val="left"/>
              <w:rPr>
                <w:rFonts w:ascii="仿宋_GB2312" w:eastAsia="仿宋_GB2312"/>
                <w:sz w:val="24"/>
              </w:rPr>
            </w:pPr>
            <w:r>
              <w:rPr>
                <w:rFonts w:hint="eastAsia" w:ascii="仿宋_GB2312" w:eastAsia="仿宋_GB2312"/>
                <w:sz w:val="24"/>
              </w:rPr>
              <w:t>□其他认证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gridSpan w:val="3"/>
            <w:vAlign w:val="center"/>
          </w:tcPr>
          <w:p>
            <w:pPr>
              <w:overflowPunct w:val="0"/>
              <w:topLinePunct/>
              <w:spacing w:line="300" w:lineRule="exact"/>
              <w:jc w:val="center"/>
              <w:rPr>
                <w:rFonts w:eastAsia="仿宋_GB2312"/>
                <w:sz w:val="24"/>
              </w:rPr>
            </w:pPr>
            <w:r>
              <w:rPr>
                <w:rFonts w:eastAsia="仿宋_GB2312"/>
                <w:sz w:val="24"/>
              </w:rPr>
              <w:t>信息化应用</w:t>
            </w:r>
          </w:p>
          <w:p>
            <w:pPr>
              <w:overflowPunct w:val="0"/>
              <w:topLinePunct/>
              <w:spacing w:line="300" w:lineRule="exact"/>
              <w:jc w:val="center"/>
              <w:rPr>
                <w:rFonts w:eastAsia="仿宋_GB2312"/>
                <w:sz w:val="24"/>
              </w:rPr>
            </w:pPr>
            <w:r>
              <w:rPr>
                <w:rFonts w:eastAsia="仿宋_GB2312"/>
                <w:sz w:val="24"/>
              </w:rPr>
              <w:t>（可复选）</w:t>
            </w:r>
          </w:p>
        </w:tc>
        <w:tc>
          <w:tcPr>
            <w:tcW w:w="6437" w:type="dxa"/>
            <w:gridSpan w:val="12"/>
            <w:vAlign w:val="center"/>
          </w:tcPr>
          <w:p>
            <w:pPr>
              <w:overflowPunct w:val="0"/>
              <w:topLinePunct/>
              <w:spacing w:line="300" w:lineRule="exact"/>
              <w:ind w:right="-105" w:rightChars="-50"/>
              <w:jc w:val="left"/>
              <w:rPr>
                <w:rFonts w:ascii="仿宋_GB2312" w:eastAsia="仿宋_GB2312"/>
                <w:sz w:val="24"/>
              </w:rPr>
            </w:pPr>
            <w:r>
              <w:rPr>
                <w:rFonts w:hint="eastAsia" w:ascii="仿宋_GB2312" w:eastAsia="仿宋_GB2312"/>
                <w:sz w:val="24"/>
              </w:rPr>
              <w:t xml:space="preserve">□财务  □进销存  □计算机辅助设计  □计算机辅助制造  </w:t>
            </w:r>
          </w:p>
          <w:p>
            <w:pPr>
              <w:overflowPunct w:val="0"/>
              <w:topLinePunct/>
              <w:spacing w:line="300" w:lineRule="exact"/>
              <w:jc w:val="left"/>
              <w:rPr>
                <w:rFonts w:ascii="仿宋_GB2312" w:eastAsia="仿宋_GB2312"/>
                <w:sz w:val="24"/>
              </w:rPr>
            </w:pPr>
            <w:r>
              <w:rPr>
                <w:rFonts w:hint="eastAsia" w:ascii="仿宋_GB2312" w:eastAsia="仿宋_GB2312"/>
                <w:sz w:val="24"/>
              </w:rPr>
              <w:t>□生产进程控制    □ERP/MRP</w:t>
            </w:r>
            <w:r>
              <w:rPr>
                <w:rFonts w:hint="eastAsia" w:ascii="仿宋_GB2312" w:hAnsi="宋体" w:eastAsia="仿宋_GB2312" w:cs="宋体"/>
                <w:sz w:val="24"/>
              </w:rPr>
              <w:t>Ⅱ</w:t>
            </w:r>
            <w:r>
              <w:rPr>
                <w:rFonts w:hint="eastAsia" w:ascii="仿宋_GB2312" w:eastAsia="仿宋_GB2312"/>
                <w:sz w:val="24"/>
              </w:rPr>
              <w:t xml:space="preserve">       □办公自动化 </w:t>
            </w:r>
          </w:p>
          <w:p>
            <w:pPr>
              <w:overflowPunct w:val="0"/>
              <w:topLinePunct/>
              <w:spacing w:line="300" w:lineRule="exact"/>
              <w:jc w:val="left"/>
              <w:rPr>
                <w:rFonts w:ascii="仿宋_GB2312" w:eastAsia="仿宋_GB2312"/>
                <w:sz w:val="24"/>
              </w:rPr>
            </w:pPr>
            <w:r>
              <w:rPr>
                <w:rFonts w:hint="eastAsia" w:ascii="仿宋_GB2312" w:eastAsia="仿宋_GB2312"/>
                <w:sz w:val="24"/>
              </w:rPr>
              <w:t>□能管平台        □企业网站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gridSpan w:val="3"/>
            <w:vAlign w:val="center"/>
          </w:tcPr>
          <w:p>
            <w:pPr>
              <w:overflowPunct w:val="0"/>
              <w:topLinePunct/>
              <w:spacing w:line="300" w:lineRule="exact"/>
              <w:jc w:val="center"/>
              <w:rPr>
                <w:rFonts w:eastAsia="仿宋_GB2312"/>
                <w:sz w:val="24"/>
              </w:rPr>
            </w:pPr>
            <w:r>
              <w:rPr>
                <w:rFonts w:eastAsia="仿宋_GB2312"/>
                <w:sz w:val="24"/>
              </w:rPr>
              <w:t>品牌级别</w:t>
            </w:r>
          </w:p>
        </w:tc>
        <w:tc>
          <w:tcPr>
            <w:tcW w:w="6437" w:type="dxa"/>
            <w:gridSpan w:val="12"/>
            <w:vAlign w:val="center"/>
          </w:tcPr>
          <w:p>
            <w:pPr>
              <w:overflowPunct w:val="0"/>
              <w:topLinePunct/>
              <w:spacing w:line="300" w:lineRule="exact"/>
              <w:jc w:val="left"/>
              <w:rPr>
                <w:rFonts w:ascii="仿宋_GB2312" w:eastAsia="仿宋_GB2312"/>
                <w:sz w:val="24"/>
              </w:rPr>
            </w:pPr>
            <w:r>
              <w:rPr>
                <w:rFonts w:hint="eastAsia" w:ascii="仿宋_GB2312" w:eastAsia="仿宋_GB2312"/>
                <w:sz w:val="24"/>
              </w:rPr>
              <w:t>□国家级    □省级    □市级    □企业级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gridSpan w:val="3"/>
            <w:vAlign w:val="center"/>
          </w:tcPr>
          <w:p>
            <w:pPr>
              <w:overflowPunct w:val="0"/>
              <w:topLinePunct/>
              <w:spacing w:line="300" w:lineRule="exact"/>
              <w:jc w:val="center"/>
              <w:rPr>
                <w:rFonts w:eastAsia="仿宋_GB2312"/>
                <w:sz w:val="24"/>
              </w:rPr>
            </w:pPr>
            <w:r>
              <w:rPr>
                <w:rFonts w:eastAsia="仿宋_GB2312"/>
                <w:sz w:val="24"/>
              </w:rPr>
              <w:t>品牌名称</w:t>
            </w:r>
          </w:p>
        </w:tc>
        <w:tc>
          <w:tcPr>
            <w:tcW w:w="6437" w:type="dxa"/>
            <w:gridSpan w:val="12"/>
            <w:vAlign w:val="center"/>
          </w:tcPr>
          <w:p>
            <w:pPr>
              <w:overflowPunct w:val="0"/>
              <w:topLinePunct/>
              <w:spacing w:line="300" w:lineRule="exact"/>
              <w:jc w:val="left"/>
              <w:rPr>
                <w:rFonts w:ascii="仿宋_GB2312" w:eastAsia="仿宋_GB2312"/>
                <w:sz w:val="24"/>
              </w:rPr>
            </w:pPr>
            <w:r>
              <w:rPr>
                <w:rFonts w:hint="eastAsia" w:ascii="仿宋_GB2312" w:eastAsia="仿宋_GB2312"/>
                <w:sz w:val="24"/>
              </w:rPr>
              <w:t>□名牌      □商标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8" w:hRule="atLeast"/>
          <w:jc w:val="center"/>
        </w:trPr>
        <w:tc>
          <w:tcPr>
            <w:tcW w:w="8523" w:type="dxa"/>
            <w:gridSpan w:val="15"/>
            <w:vAlign w:val="center"/>
          </w:tcPr>
          <w:p>
            <w:pPr>
              <w:overflowPunct w:val="0"/>
              <w:topLinePunct/>
              <w:spacing w:line="480" w:lineRule="exact"/>
              <w:jc w:val="center"/>
              <w:rPr>
                <w:rFonts w:eastAsia="仿宋_GB2312"/>
                <w:b/>
                <w:sz w:val="24"/>
              </w:rPr>
            </w:pPr>
            <w:r>
              <w:rPr>
                <w:rFonts w:eastAsia="仿宋_GB2312"/>
                <w:b/>
                <w:sz w:val="24"/>
              </w:rPr>
              <w:t>材料真实性承诺:</w:t>
            </w:r>
          </w:p>
          <w:p>
            <w:pPr>
              <w:pStyle w:val="47"/>
              <w:widowControl w:val="0"/>
              <w:overflowPunct w:val="0"/>
              <w:topLinePunct/>
              <w:spacing w:before="111" w:line="480" w:lineRule="exact"/>
              <w:ind w:left="601"/>
              <w:rPr>
                <w:rFonts w:eastAsia="仿宋_GB2312"/>
                <w:spacing w:val="5"/>
                <w:szCs w:val="24"/>
              </w:rPr>
            </w:pPr>
            <w:r>
              <w:rPr>
                <w:rFonts w:eastAsia="仿宋_GB2312"/>
                <w:spacing w:val="5"/>
                <w:szCs w:val="24"/>
              </w:rPr>
              <w:t>我单位郑重承诺：本次申报绿色工厂所提交的相关数据和信息均真</w:t>
            </w:r>
          </w:p>
          <w:p>
            <w:pPr>
              <w:pStyle w:val="47"/>
              <w:widowControl w:val="0"/>
              <w:overflowPunct w:val="0"/>
              <w:topLinePunct/>
              <w:spacing w:line="480" w:lineRule="exact"/>
              <w:rPr>
                <w:rFonts w:eastAsia="仿宋_GB2312"/>
                <w:szCs w:val="24"/>
              </w:rPr>
            </w:pPr>
            <w:r>
              <w:rPr>
                <w:rFonts w:eastAsia="仿宋_GB2312"/>
                <w:spacing w:val="-2"/>
                <w:szCs w:val="24"/>
              </w:rPr>
              <w:t>实、有效，愿接受并积极配合主管部门的监督抽查和核验。如有违反，愿承担</w:t>
            </w:r>
          </w:p>
          <w:p>
            <w:pPr>
              <w:pStyle w:val="47"/>
              <w:widowControl w:val="0"/>
              <w:overflowPunct w:val="0"/>
              <w:topLinePunct/>
              <w:spacing w:line="480" w:lineRule="exact"/>
              <w:ind w:left="104"/>
              <w:rPr>
                <w:rFonts w:eastAsia="仿宋_GB2312"/>
                <w:szCs w:val="24"/>
              </w:rPr>
            </w:pPr>
            <w:r>
              <w:rPr>
                <w:rFonts w:eastAsia="仿宋_GB2312"/>
                <w:szCs w:val="24"/>
              </w:rPr>
              <w:t>由此产生的相应责任。</w:t>
            </w:r>
          </w:p>
          <w:p>
            <w:pPr>
              <w:pStyle w:val="47"/>
              <w:widowControl w:val="0"/>
              <w:overflowPunct w:val="0"/>
              <w:topLinePunct/>
              <w:spacing w:before="118" w:line="480" w:lineRule="exact"/>
              <w:ind w:left="3860"/>
              <w:rPr>
                <w:rFonts w:eastAsia="仿宋_GB2312"/>
                <w:b/>
                <w:szCs w:val="24"/>
              </w:rPr>
            </w:pPr>
          </w:p>
          <w:p>
            <w:pPr>
              <w:pStyle w:val="47"/>
              <w:widowControl w:val="0"/>
              <w:overflowPunct w:val="0"/>
              <w:topLinePunct/>
              <w:spacing w:before="118" w:line="480" w:lineRule="exact"/>
              <w:ind w:left="3860"/>
              <w:rPr>
                <w:rFonts w:eastAsia="仿宋_GB2312"/>
                <w:szCs w:val="24"/>
              </w:rPr>
            </w:pPr>
            <w:r>
              <w:rPr>
                <w:rFonts w:eastAsia="仿宋_GB2312"/>
                <w:b/>
                <w:szCs w:val="24"/>
              </w:rPr>
              <w:t>法人代表或单位负责人签名：</w:t>
            </w:r>
          </w:p>
          <w:p>
            <w:pPr>
              <w:pStyle w:val="47"/>
              <w:widowControl w:val="0"/>
              <w:overflowPunct w:val="0"/>
              <w:topLinePunct/>
              <w:spacing w:line="480" w:lineRule="exact"/>
              <w:ind w:left="5384"/>
              <w:jc w:val="center"/>
              <w:rPr>
                <w:rFonts w:eastAsia="仿宋_GB2312"/>
                <w:szCs w:val="24"/>
              </w:rPr>
            </w:pPr>
            <w:r>
              <w:rPr>
                <w:rFonts w:eastAsia="仿宋_GB2312"/>
                <w:b/>
                <w:szCs w:val="24"/>
              </w:rPr>
              <w:t>（公章）</w:t>
            </w:r>
          </w:p>
          <w:p>
            <w:pPr>
              <w:overflowPunct w:val="0"/>
              <w:topLinePunct/>
              <w:spacing w:line="480" w:lineRule="exact"/>
              <w:ind w:firstLine="5386" w:firstLineChars="2353"/>
              <w:jc w:val="center"/>
              <w:rPr>
                <w:rFonts w:eastAsia="仿宋_GB2312"/>
                <w:b/>
                <w:sz w:val="24"/>
              </w:rPr>
            </w:pPr>
            <w:r>
              <w:rPr>
                <w:rFonts w:eastAsia="仿宋_GB2312"/>
                <w:b/>
                <w:w w:val="95"/>
                <w:sz w:val="24"/>
              </w:rPr>
              <w:t>日期：</w:t>
            </w:r>
          </w:p>
        </w:tc>
      </w:tr>
    </w:tbl>
    <w:p>
      <w:pPr>
        <w:pStyle w:val="49"/>
        <w:overflowPunct w:val="0"/>
        <w:topLinePunct/>
        <w:spacing w:before="75"/>
        <w:ind w:left="0" w:right="1726"/>
        <w:jc w:val="center"/>
        <w:rPr>
          <w:rFonts w:ascii="Times New Roman" w:hAnsi="Times New Roman" w:eastAsia="黑体"/>
          <w:bCs/>
          <w:sz w:val="32"/>
          <w:szCs w:val="32"/>
        </w:rPr>
      </w:pPr>
      <w:r>
        <w:rPr>
          <w:rFonts w:ascii="Times New Roman" w:hAnsi="Times New Roman" w:eastAsia="仿宋"/>
          <w:b/>
          <w:bCs/>
          <w:color w:val="23282D"/>
          <w:sz w:val="32"/>
          <w:szCs w:val="32"/>
        </w:rPr>
        <w:t xml:space="preserve">   </w:t>
      </w:r>
      <w:r>
        <w:rPr>
          <w:rFonts w:ascii="Times New Roman" w:hAnsi="Times New Roman"/>
          <w:b/>
          <w:bCs/>
          <w:sz w:val="32"/>
          <w:szCs w:val="32"/>
        </w:rPr>
        <w:t xml:space="preserve">  </w:t>
      </w:r>
      <w:r>
        <w:rPr>
          <w:rFonts w:ascii="Times New Roman" w:hAnsi="Times New Roman" w:eastAsia="黑体"/>
          <w:bCs/>
          <w:sz w:val="32"/>
          <w:szCs w:val="32"/>
        </w:rPr>
        <w:t xml:space="preserve"> </w:t>
      </w:r>
    </w:p>
    <w:p>
      <w:pPr>
        <w:pStyle w:val="49"/>
        <w:overflowPunct w:val="0"/>
        <w:topLinePunct/>
        <w:spacing w:before="75"/>
        <w:ind w:left="0" w:right="1726"/>
        <w:rPr>
          <w:rFonts w:ascii="Times New Roman" w:hAnsi="Times New Roman" w:eastAsia="黑体"/>
          <w:bCs/>
          <w:sz w:val="32"/>
          <w:szCs w:val="32"/>
        </w:rPr>
      </w:pPr>
      <w:r>
        <w:rPr>
          <w:rFonts w:ascii="Times New Roman" w:hAnsi="Times New Roman" w:eastAsia="黑体"/>
          <w:bCs/>
          <w:sz w:val="32"/>
          <w:szCs w:val="32"/>
        </w:rPr>
        <w:br w:type="page"/>
      </w:r>
      <w:r>
        <w:rPr>
          <w:rFonts w:ascii="Times New Roman" w:hAnsi="Times New Roman" w:eastAsia="黑体"/>
          <w:bCs/>
          <w:sz w:val="32"/>
          <w:szCs w:val="32"/>
        </w:rPr>
        <w:t>表-2</w:t>
      </w:r>
    </w:p>
    <w:p>
      <w:pPr>
        <w:pStyle w:val="49"/>
        <w:overflowPunct w:val="0"/>
        <w:topLinePunct/>
        <w:spacing w:before="75"/>
        <w:ind w:left="0"/>
        <w:jc w:val="center"/>
        <w:rPr>
          <w:rFonts w:ascii="Times New Roman" w:hAnsi="Times New Roman" w:eastAsia="黑体"/>
          <w:bCs/>
          <w:color w:val="23282D"/>
          <w:sz w:val="32"/>
          <w:szCs w:val="32"/>
        </w:rPr>
      </w:pPr>
      <w:r>
        <w:rPr>
          <w:rFonts w:ascii="Times New Roman" w:hAnsi="Times New Roman" w:eastAsia="黑体"/>
          <w:bCs/>
          <w:sz w:val="32"/>
          <w:szCs w:val="32"/>
        </w:rPr>
        <w:t>评价相关信息表</w:t>
      </w:r>
    </w:p>
    <w:p>
      <w:pPr>
        <w:pStyle w:val="49"/>
        <w:overflowPunct w:val="0"/>
        <w:topLinePunct/>
        <w:spacing w:before="75"/>
        <w:ind w:left="0" w:right="1726"/>
        <w:jc w:val="center"/>
        <w:rPr>
          <w:rFonts w:ascii="Times New Roman" w:hAnsi="Times New Roman" w:eastAsia="仿宋"/>
          <w:b/>
          <w:bCs/>
          <w:color w:val="23282D"/>
          <w:sz w:val="32"/>
          <w:szCs w:val="32"/>
        </w:rPr>
      </w:pPr>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595"/>
        <w:gridCol w:w="1909"/>
        <w:gridCol w:w="934"/>
        <w:gridCol w:w="1163"/>
        <w:gridCol w:w="332"/>
        <w:gridCol w:w="19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5" w:hRule="atLeast"/>
          <w:jc w:val="center"/>
        </w:trPr>
        <w:tc>
          <w:tcPr>
            <w:tcW w:w="5000" w:type="pct"/>
            <w:gridSpan w:val="6"/>
            <w:tcBorders>
              <w:bottom w:val="single" w:color="auto" w:sz="4" w:space="0"/>
            </w:tcBorders>
            <w:vAlign w:val="center"/>
          </w:tcPr>
          <w:p>
            <w:pPr>
              <w:overflowPunct w:val="0"/>
              <w:topLinePunct/>
              <w:spacing w:line="480" w:lineRule="exact"/>
              <w:rPr>
                <w:rFonts w:eastAsia="仿宋_GB2312"/>
                <w:sz w:val="24"/>
              </w:rPr>
            </w:pPr>
            <w:r>
              <w:rPr>
                <w:rFonts w:eastAsia="仿宋_GB2312"/>
                <w:sz w:val="24"/>
              </w:rPr>
              <w:t>1、评价机构信息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1464" w:type="pct"/>
            <w:tcBorders>
              <w:top w:val="single" w:color="auto" w:sz="4" w:space="0"/>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评价机构名称</w:t>
            </w:r>
          </w:p>
        </w:tc>
        <w:tc>
          <w:tcPr>
            <w:tcW w:w="3536" w:type="pct"/>
            <w:gridSpan w:val="5"/>
            <w:tcBorders>
              <w:top w:val="single" w:color="auto" w:sz="4" w:space="0"/>
              <w:left w:val="single" w:color="auto" w:sz="4" w:space="0"/>
            </w:tcBorders>
            <w:vAlign w:val="center"/>
          </w:tcPr>
          <w:p>
            <w:pPr>
              <w:overflowPunct w:val="0"/>
              <w:topLinePunct/>
              <w:spacing w:line="480" w:lineRule="exac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5" w:hRule="atLeast"/>
          <w:jc w:val="center"/>
        </w:trPr>
        <w:tc>
          <w:tcPr>
            <w:tcW w:w="1464" w:type="pct"/>
            <w:tcBorders>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评价机构地址</w:t>
            </w:r>
          </w:p>
        </w:tc>
        <w:tc>
          <w:tcPr>
            <w:tcW w:w="3536" w:type="pct"/>
            <w:gridSpan w:val="5"/>
            <w:tcBorders>
              <w:left w:val="single" w:color="auto" w:sz="4" w:space="0"/>
            </w:tcBorders>
            <w:vAlign w:val="center"/>
          </w:tcPr>
          <w:p>
            <w:pPr>
              <w:overflowPunct w:val="0"/>
              <w:topLinePunct/>
              <w:spacing w:line="480" w:lineRule="exac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1464" w:type="pct"/>
            <w:tcBorders>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机构法定代表人</w:t>
            </w:r>
          </w:p>
        </w:tc>
        <w:tc>
          <w:tcPr>
            <w:tcW w:w="1077" w:type="pct"/>
            <w:tcBorders>
              <w:left w:val="single" w:color="auto" w:sz="4" w:space="0"/>
              <w:right w:val="single" w:color="auto" w:sz="4" w:space="0"/>
            </w:tcBorders>
            <w:vAlign w:val="center"/>
          </w:tcPr>
          <w:p>
            <w:pPr>
              <w:overflowPunct w:val="0"/>
              <w:topLinePunct/>
              <w:spacing w:line="480" w:lineRule="exact"/>
              <w:jc w:val="center"/>
              <w:rPr>
                <w:rFonts w:eastAsia="仿宋_GB2312"/>
                <w:sz w:val="24"/>
              </w:rPr>
            </w:pPr>
          </w:p>
        </w:tc>
        <w:tc>
          <w:tcPr>
            <w:tcW w:w="1183" w:type="pct"/>
            <w:gridSpan w:val="2"/>
            <w:tcBorders>
              <w:left w:val="single" w:color="auto" w:sz="4" w:space="0"/>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法人代表电话</w:t>
            </w:r>
          </w:p>
        </w:tc>
        <w:tc>
          <w:tcPr>
            <w:tcW w:w="1276" w:type="pct"/>
            <w:gridSpan w:val="2"/>
            <w:tcBorders>
              <w:left w:val="single" w:color="auto" w:sz="4" w:space="0"/>
            </w:tcBorders>
            <w:vAlign w:val="center"/>
          </w:tcPr>
          <w:p>
            <w:pPr>
              <w:overflowPunct w:val="0"/>
              <w:topLinePunct/>
              <w:spacing w:line="48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1464" w:type="pct"/>
            <w:tcBorders>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机构联系人</w:t>
            </w:r>
          </w:p>
        </w:tc>
        <w:tc>
          <w:tcPr>
            <w:tcW w:w="1077" w:type="pct"/>
            <w:tcBorders>
              <w:left w:val="single" w:color="auto" w:sz="4" w:space="0"/>
              <w:right w:val="single" w:color="auto" w:sz="4" w:space="0"/>
            </w:tcBorders>
            <w:vAlign w:val="center"/>
          </w:tcPr>
          <w:p>
            <w:pPr>
              <w:overflowPunct w:val="0"/>
              <w:topLinePunct/>
              <w:spacing w:line="480" w:lineRule="exact"/>
              <w:jc w:val="center"/>
              <w:rPr>
                <w:rFonts w:eastAsia="仿宋_GB2312"/>
                <w:sz w:val="24"/>
              </w:rPr>
            </w:pPr>
          </w:p>
        </w:tc>
        <w:tc>
          <w:tcPr>
            <w:tcW w:w="1183" w:type="pct"/>
            <w:gridSpan w:val="2"/>
            <w:tcBorders>
              <w:left w:val="single" w:color="auto" w:sz="4" w:space="0"/>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 xml:space="preserve"> 联系人电话</w:t>
            </w:r>
          </w:p>
        </w:tc>
        <w:tc>
          <w:tcPr>
            <w:tcW w:w="1276" w:type="pct"/>
            <w:gridSpan w:val="2"/>
            <w:tcBorders>
              <w:left w:val="single" w:color="auto" w:sz="4" w:space="0"/>
            </w:tcBorders>
            <w:vAlign w:val="center"/>
          </w:tcPr>
          <w:p>
            <w:pPr>
              <w:overflowPunct w:val="0"/>
              <w:topLinePunct/>
              <w:spacing w:line="48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5" w:hRule="atLeast"/>
          <w:jc w:val="center"/>
        </w:trPr>
        <w:tc>
          <w:tcPr>
            <w:tcW w:w="5000" w:type="pct"/>
            <w:gridSpan w:val="6"/>
            <w:tcBorders>
              <w:top w:val="single" w:color="auto" w:sz="4" w:space="0"/>
              <w:bottom w:val="single" w:color="auto" w:sz="4" w:space="0"/>
            </w:tcBorders>
            <w:vAlign w:val="center"/>
          </w:tcPr>
          <w:p>
            <w:pPr>
              <w:overflowPunct w:val="0"/>
              <w:topLinePunct/>
              <w:spacing w:line="480" w:lineRule="exact"/>
              <w:rPr>
                <w:rFonts w:eastAsia="仿宋_GB2312"/>
                <w:sz w:val="24"/>
              </w:rPr>
            </w:pPr>
            <w:r>
              <w:rPr>
                <w:rFonts w:eastAsia="仿宋_GB2312"/>
                <w:sz w:val="24"/>
              </w:rPr>
              <w:t>2、评价报告编制信息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1464" w:type="pct"/>
            <w:tcBorders>
              <w:top w:val="single" w:color="auto" w:sz="4" w:space="0"/>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编制负责人</w:t>
            </w:r>
          </w:p>
        </w:tc>
        <w:tc>
          <w:tcPr>
            <w:tcW w:w="1077" w:type="pct"/>
            <w:tcBorders>
              <w:top w:val="single" w:color="auto" w:sz="4" w:space="0"/>
              <w:left w:val="single" w:color="auto" w:sz="4" w:space="0"/>
              <w:right w:val="single" w:color="auto" w:sz="4" w:space="0"/>
            </w:tcBorders>
            <w:vAlign w:val="center"/>
          </w:tcPr>
          <w:p>
            <w:pPr>
              <w:overflowPunct w:val="0"/>
              <w:topLinePunct/>
              <w:spacing w:line="480" w:lineRule="exact"/>
              <w:jc w:val="center"/>
              <w:rPr>
                <w:rFonts w:eastAsia="仿宋_GB2312"/>
                <w:sz w:val="24"/>
              </w:rPr>
            </w:pPr>
          </w:p>
        </w:tc>
        <w:tc>
          <w:tcPr>
            <w:tcW w:w="1183" w:type="pct"/>
            <w:gridSpan w:val="2"/>
            <w:tcBorders>
              <w:top w:val="single" w:color="auto" w:sz="4" w:space="0"/>
              <w:left w:val="single" w:color="auto" w:sz="4" w:space="0"/>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负责人电话</w:t>
            </w:r>
          </w:p>
        </w:tc>
        <w:tc>
          <w:tcPr>
            <w:tcW w:w="1276" w:type="pct"/>
            <w:gridSpan w:val="2"/>
            <w:tcBorders>
              <w:top w:val="single" w:color="auto" w:sz="4" w:space="0"/>
              <w:left w:val="single" w:color="auto" w:sz="4" w:space="0"/>
            </w:tcBorders>
            <w:vAlign w:val="center"/>
          </w:tcPr>
          <w:p>
            <w:pPr>
              <w:overflowPunct w:val="0"/>
              <w:topLinePunct/>
              <w:spacing w:line="48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1464" w:type="pct"/>
            <w:tcBorders>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审核人</w:t>
            </w:r>
          </w:p>
        </w:tc>
        <w:tc>
          <w:tcPr>
            <w:tcW w:w="1077" w:type="pct"/>
            <w:tcBorders>
              <w:left w:val="single" w:color="auto" w:sz="4" w:space="0"/>
              <w:right w:val="single" w:color="auto" w:sz="4" w:space="0"/>
            </w:tcBorders>
            <w:vAlign w:val="center"/>
          </w:tcPr>
          <w:p>
            <w:pPr>
              <w:overflowPunct w:val="0"/>
              <w:topLinePunct/>
              <w:spacing w:line="480" w:lineRule="exact"/>
              <w:jc w:val="center"/>
              <w:rPr>
                <w:rFonts w:eastAsia="仿宋_GB2312"/>
                <w:sz w:val="24"/>
              </w:rPr>
            </w:pPr>
          </w:p>
        </w:tc>
        <w:tc>
          <w:tcPr>
            <w:tcW w:w="1183" w:type="pct"/>
            <w:gridSpan w:val="2"/>
            <w:tcBorders>
              <w:left w:val="single" w:color="auto" w:sz="4" w:space="0"/>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审核人电话</w:t>
            </w:r>
          </w:p>
        </w:tc>
        <w:tc>
          <w:tcPr>
            <w:tcW w:w="1276" w:type="pct"/>
            <w:gridSpan w:val="2"/>
            <w:tcBorders>
              <w:left w:val="single" w:color="auto" w:sz="4" w:space="0"/>
            </w:tcBorders>
            <w:vAlign w:val="center"/>
          </w:tcPr>
          <w:p>
            <w:pPr>
              <w:overflowPunct w:val="0"/>
              <w:topLinePunct/>
              <w:spacing w:line="48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7" w:hRule="atLeast"/>
          <w:jc w:val="center"/>
        </w:trPr>
        <w:tc>
          <w:tcPr>
            <w:tcW w:w="5000" w:type="pct"/>
            <w:gridSpan w:val="6"/>
            <w:vAlign w:val="center"/>
          </w:tcPr>
          <w:p>
            <w:pPr>
              <w:overflowPunct w:val="0"/>
              <w:topLinePunct/>
              <w:spacing w:line="480" w:lineRule="exact"/>
              <w:rPr>
                <w:rFonts w:eastAsia="仿宋_GB2312"/>
                <w:sz w:val="24"/>
              </w:rPr>
            </w:pPr>
            <w:r>
              <w:rPr>
                <w:rFonts w:eastAsia="仿宋_GB2312"/>
                <w:sz w:val="24"/>
              </w:rPr>
              <w:t>3、绿色工厂评价结果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1464" w:type="pct"/>
            <w:tcBorders>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一般要求</w:t>
            </w:r>
            <w:r>
              <w:rPr>
                <w:rFonts w:eastAsia="仿宋_GB2312"/>
                <w:sz w:val="24"/>
              </w:rPr>
              <w:tab/>
            </w:r>
          </w:p>
        </w:tc>
        <w:tc>
          <w:tcPr>
            <w:tcW w:w="1604" w:type="pct"/>
            <w:gridSpan w:val="2"/>
            <w:tcBorders>
              <w:left w:val="single" w:color="auto" w:sz="4" w:space="0"/>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 xml:space="preserve">   口符合   口不符合</w:t>
            </w:r>
          </w:p>
        </w:tc>
        <w:tc>
          <w:tcPr>
            <w:tcW w:w="843" w:type="pct"/>
            <w:gridSpan w:val="2"/>
            <w:tcBorders>
              <w:left w:val="single" w:color="auto" w:sz="4" w:space="0"/>
              <w:right w:val="single" w:color="auto" w:sz="4" w:space="0"/>
            </w:tcBorders>
            <w:vAlign w:val="center"/>
          </w:tcPr>
          <w:p>
            <w:pPr>
              <w:overflowPunct w:val="0"/>
              <w:topLinePunct/>
              <w:spacing w:line="480" w:lineRule="exact"/>
              <w:jc w:val="center"/>
              <w:rPr>
                <w:rFonts w:eastAsia="仿宋_GB2312"/>
                <w:sz w:val="24"/>
              </w:rPr>
            </w:pPr>
            <w:r>
              <w:rPr>
                <w:rFonts w:eastAsia="仿宋_GB2312"/>
                <w:sz w:val="24"/>
              </w:rPr>
              <w:t>指标得分</w:t>
            </w:r>
          </w:p>
        </w:tc>
        <w:tc>
          <w:tcPr>
            <w:tcW w:w="1089" w:type="pct"/>
            <w:tcBorders>
              <w:left w:val="single" w:color="auto" w:sz="4" w:space="0"/>
            </w:tcBorders>
            <w:vAlign w:val="center"/>
          </w:tcPr>
          <w:p>
            <w:pPr>
              <w:overflowPunct w:val="0"/>
              <w:topLinePunct/>
              <w:spacing w:line="48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3" w:hRule="exact"/>
          <w:jc w:val="center"/>
        </w:trPr>
        <w:tc>
          <w:tcPr>
            <w:tcW w:w="5000" w:type="pct"/>
            <w:gridSpan w:val="6"/>
            <w:tcBorders>
              <w:bottom w:val="single" w:color="auto" w:sz="4" w:space="0"/>
            </w:tcBorders>
            <w:vAlign w:val="center"/>
          </w:tcPr>
          <w:p>
            <w:pPr>
              <w:overflowPunct w:val="0"/>
              <w:topLinePunct/>
              <w:spacing w:line="480" w:lineRule="exact"/>
              <w:ind w:firstLine="480" w:firstLineChars="200"/>
              <w:rPr>
                <w:rFonts w:eastAsia="仿宋_GB2312"/>
                <w:sz w:val="24"/>
              </w:rPr>
            </w:pPr>
            <w:r>
              <w:rPr>
                <w:rFonts w:eastAsia="仿宋_GB2312"/>
                <w:sz w:val="24"/>
              </w:rPr>
              <w:t>本单位承诺 ，已对申请单位材料进行了全面审核 ，材料真实有效 ，评价程序规范完整 ，结论客观公正 。评价报告若存在弄虚作假 ，本单位愿承担相应的责任。</w:t>
            </w:r>
          </w:p>
          <w:p>
            <w:pPr>
              <w:overflowPunct w:val="0"/>
              <w:topLinePunct/>
              <w:spacing w:line="480" w:lineRule="exact"/>
              <w:ind w:firstLine="480" w:firstLineChars="200"/>
              <w:rPr>
                <w:rFonts w:eastAsia="仿宋_GB2312"/>
                <w:sz w:val="24"/>
              </w:rPr>
            </w:pPr>
          </w:p>
          <w:p>
            <w:pPr>
              <w:overflowPunct w:val="0"/>
              <w:topLinePunct/>
              <w:spacing w:line="480" w:lineRule="exact"/>
              <w:jc w:val="center"/>
              <w:rPr>
                <w:rFonts w:eastAsia="仿宋_GB2312"/>
                <w:sz w:val="24"/>
              </w:rPr>
            </w:pPr>
            <w:r>
              <w:rPr>
                <w:rFonts w:eastAsia="仿宋_GB2312"/>
                <w:sz w:val="24"/>
              </w:rPr>
              <w:t xml:space="preserve">                                     负责人签字：</w:t>
            </w:r>
          </w:p>
          <w:p>
            <w:pPr>
              <w:overflowPunct w:val="0"/>
              <w:topLinePunct/>
              <w:spacing w:line="480" w:lineRule="exact"/>
              <w:rPr>
                <w:rFonts w:eastAsia="仿宋_GB2312"/>
                <w:sz w:val="24"/>
              </w:rPr>
            </w:pPr>
            <w:r>
              <w:rPr>
                <w:rFonts w:eastAsia="仿宋_GB2312"/>
                <w:sz w:val="24"/>
              </w:rPr>
              <w:t xml:space="preserve">                                               （单位公章）</w:t>
            </w:r>
          </w:p>
        </w:tc>
      </w:tr>
    </w:tbl>
    <w:p>
      <w:pPr>
        <w:overflowPunct w:val="0"/>
        <w:topLinePunct/>
        <w:ind w:firstLine="280" w:firstLineChars="100"/>
        <w:rPr>
          <w:rFonts w:eastAsia="仿宋_GB2312"/>
          <w:sz w:val="28"/>
          <w:szCs w:val="28"/>
        </w:rPr>
      </w:pPr>
      <w:r>
        <w:rPr>
          <w:rFonts w:eastAsia="仿宋_GB2312"/>
          <w:sz w:val="28"/>
          <w:szCs w:val="28"/>
        </w:rPr>
        <w:t>（企业自行开展评价打分无需填写第1项，直接填写2-3项）</w:t>
      </w:r>
    </w:p>
    <w:p>
      <w:pPr>
        <w:overflowPunct w:val="0"/>
        <w:topLinePunct/>
        <w:rPr>
          <w:rFonts w:eastAsia="仿宋_GB2312"/>
          <w:b/>
          <w:bCs/>
          <w:sz w:val="28"/>
          <w:szCs w:val="28"/>
        </w:rPr>
      </w:pPr>
    </w:p>
    <w:p>
      <w:pPr>
        <w:pStyle w:val="8"/>
        <w:overflowPunct w:val="0"/>
        <w:topLinePunct/>
        <w:spacing w:line="580" w:lineRule="exact"/>
        <w:ind w:firstLine="705" w:firstLineChars="196"/>
        <w:jc w:val="both"/>
        <w:rPr>
          <w:rFonts w:eastAsia="黑体"/>
          <w:b w:val="0"/>
          <w:sz w:val="32"/>
          <w:szCs w:val="32"/>
        </w:rPr>
      </w:pPr>
      <w:r>
        <w:rPr>
          <w:rFonts w:eastAsia="黑体"/>
          <w:bCs w:val="0"/>
        </w:rPr>
        <w:br w:type="page"/>
      </w:r>
      <w:r>
        <w:rPr>
          <w:rFonts w:eastAsia="黑体"/>
          <w:b w:val="0"/>
          <w:sz w:val="32"/>
          <w:szCs w:val="32"/>
        </w:rPr>
        <w:t>一、工厂基本情况</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概述企业的基本信息、发展现状、工艺产品和生产经营状况以及在绿色发展方面开展的重点工作及取得的成绩等。</w:t>
      </w:r>
    </w:p>
    <w:p>
      <w:pPr>
        <w:pStyle w:val="8"/>
        <w:overflowPunct w:val="0"/>
        <w:topLinePunct/>
        <w:spacing w:line="580" w:lineRule="exact"/>
        <w:ind w:firstLine="627" w:firstLineChars="196"/>
        <w:jc w:val="both"/>
        <w:rPr>
          <w:rFonts w:eastAsia="黑体"/>
          <w:b w:val="0"/>
          <w:sz w:val="32"/>
          <w:szCs w:val="32"/>
        </w:rPr>
      </w:pPr>
      <w:r>
        <w:rPr>
          <w:rFonts w:eastAsia="黑体"/>
          <w:b w:val="0"/>
          <w:sz w:val="32"/>
          <w:szCs w:val="32"/>
        </w:rPr>
        <w:t>二、评价概述</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主要介绍绿色工厂评价的目的、范围及准则 。</w:t>
      </w:r>
    </w:p>
    <w:p>
      <w:pPr>
        <w:pStyle w:val="8"/>
        <w:overflowPunct w:val="0"/>
        <w:topLinePunct/>
        <w:spacing w:line="580" w:lineRule="exact"/>
        <w:ind w:firstLine="627" w:firstLineChars="196"/>
        <w:jc w:val="both"/>
        <w:rPr>
          <w:rFonts w:eastAsia="黑体"/>
          <w:b w:val="0"/>
          <w:sz w:val="32"/>
          <w:szCs w:val="32"/>
        </w:rPr>
      </w:pPr>
      <w:r>
        <w:rPr>
          <w:rFonts w:eastAsia="黑体"/>
          <w:b w:val="0"/>
          <w:sz w:val="32"/>
          <w:szCs w:val="32"/>
        </w:rPr>
        <w:t>三、评价过程和方法</w:t>
      </w:r>
    </w:p>
    <w:p>
      <w:pPr>
        <w:overflowPunct w:val="0"/>
        <w:topLinePunct/>
        <w:spacing w:line="580" w:lineRule="exact"/>
        <w:rPr>
          <w:rFonts w:eastAsia="仿宋_GB2312"/>
          <w:bCs/>
          <w:sz w:val="32"/>
          <w:szCs w:val="32"/>
        </w:rPr>
      </w:pPr>
      <w:r>
        <w:rPr>
          <w:rFonts w:eastAsia="仿宋_GB2312"/>
          <w:bCs/>
          <w:sz w:val="32"/>
          <w:szCs w:val="32"/>
        </w:rPr>
        <w:t xml:space="preserve">    主要介绍评价组织安排、评审评估情况、评价报告编写及内部技术复核情况。</w:t>
      </w:r>
    </w:p>
    <w:p>
      <w:pPr>
        <w:pStyle w:val="8"/>
        <w:overflowPunct w:val="0"/>
        <w:topLinePunct/>
        <w:spacing w:line="580" w:lineRule="exact"/>
        <w:ind w:firstLine="627" w:firstLineChars="196"/>
        <w:jc w:val="both"/>
        <w:rPr>
          <w:rFonts w:eastAsia="黑体"/>
          <w:b w:val="0"/>
          <w:sz w:val="32"/>
          <w:szCs w:val="32"/>
        </w:rPr>
      </w:pPr>
      <w:r>
        <w:rPr>
          <w:rFonts w:eastAsia="黑体"/>
          <w:b w:val="0"/>
          <w:sz w:val="32"/>
          <w:szCs w:val="32"/>
        </w:rPr>
        <w:t>四、评价内容</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对照《绿色工厂基本要求评价表》和《绿色工厂评价指标评价表》（附表1、2），对绿色工厂基本要求以及基础设施、管理体系、能源资源投入、产品、环境排放、绩效等6个方面相关指标进行描述、核实、检查、评价。</w:t>
      </w:r>
    </w:p>
    <w:p>
      <w:pPr>
        <w:pStyle w:val="8"/>
        <w:overflowPunct w:val="0"/>
        <w:topLinePunct/>
        <w:spacing w:line="580" w:lineRule="exact"/>
        <w:ind w:firstLine="627" w:firstLineChars="196"/>
        <w:jc w:val="both"/>
        <w:rPr>
          <w:rFonts w:eastAsia="黑体"/>
          <w:b w:val="0"/>
          <w:sz w:val="32"/>
          <w:szCs w:val="32"/>
        </w:rPr>
      </w:pPr>
      <w:r>
        <w:rPr>
          <w:rFonts w:eastAsia="黑体"/>
          <w:b w:val="0"/>
          <w:sz w:val="32"/>
          <w:szCs w:val="32"/>
        </w:rPr>
        <w:t>五、评价结论</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对申报工厂是否符合绿色工厂要求进行评价，说明各评价指标值及是否符合评价要求情况，描述主要创建做法及工作亮点等。</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按要求填写附表1-2。</w:t>
      </w:r>
    </w:p>
    <w:p>
      <w:pPr>
        <w:pStyle w:val="8"/>
        <w:overflowPunct w:val="0"/>
        <w:topLinePunct/>
        <w:spacing w:line="580" w:lineRule="exact"/>
        <w:ind w:firstLine="627" w:firstLineChars="196"/>
        <w:jc w:val="both"/>
        <w:rPr>
          <w:rFonts w:eastAsia="黑体"/>
          <w:b w:val="0"/>
          <w:sz w:val="32"/>
          <w:szCs w:val="32"/>
        </w:rPr>
      </w:pPr>
      <w:r>
        <w:rPr>
          <w:rFonts w:eastAsia="黑体"/>
          <w:b w:val="0"/>
          <w:sz w:val="32"/>
          <w:szCs w:val="32"/>
        </w:rPr>
        <w:t>六、建议</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对持续创建绿色工厂的下一步工作提出建议。</w:t>
      </w:r>
    </w:p>
    <w:p>
      <w:pPr>
        <w:pStyle w:val="8"/>
        <w:overflowPunct w:val="0"/>
        <w:topLinePunct/>
        <w:spacing w:line="580" w:lineRule="exact"/>
        <w:ind w:firstLine="627" w:firstLineChars="196"/>
        <w:jc w:val="both"/>
        <w:rPr>
          <w:rFonts w:eastAsia="黑体"/>
          <w:b w:val="0"/>
          <w:sz w:val="32"/>
          <w:szCs w:val="32"/>
        </w:rPr>
      </w:pPr>
      <w:r>
        <w:rPr>
          <w:rFonts w:eastAsia="黑体"/>
          <w:b w:val="0"/>
          <w:sz w:val="32"/>
          <w:szCs w:val="32"/>
        </w:rPr>
        <w:t>七、相关证明材料</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包括但不限于以下材料（与附表证明材料索引一栏对应）：</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1. 企业营业执照复印件；</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2.</w:t>
      </w:r>
      <w:r>
        <w:rPr>
          <w:rFonts w:eastAsia="仿宋_GB2312"/>
          <w:b w:val="0"/>
          <w:spacing w:val="23"/>
          <w:sz w:val="32"/>
          <w:szCs w:val="32"/>
        </w:rPr>
        <w:t xml:space="preserve"> </w:t>
      </w:r>
      <w:r>
        <w:rPr>
          <w:rFonts w:eastAsia="仿宋_GB2312"/>
          <w:b w:val="0"/>
          <w:sz w:val="32"/>
          <w:szCs w:val="32"/>
        </w:rPr>
        <w:t>企业生产许可证复印件（适用时）；</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3.</w:t>
      </w:r>
      <w:r>
        <w:rPr>
          <w:rFonts w:eastAsia="仿宋_GB2312"/>
          <w:b w:val="0"/>
          <w:spacing w:val="36"/>
          <w:sz w:val="32"/>
          <w:szCs w:val="32"/>
        </w:rPr>
        <w:t xml:space="preserve"> </w:t>
      </w:r>
      <w:r>
        <w:rPr>
          <w:rFonts w:eastAsia="仿宋_GB2312"/>
          <w:b w:val="0"/>
          <w:sz w:val="32"/>
          <w:szCs w:val="32"/>
        </w:rPr>
        <w:t>工厂建设批复文件复印件；</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4.</w:t>
      </w:r>
      <w:r>
        <w:rPr>
          <w:rFonts w:eastAsia="仿宋_GB2312"/>
          <w:b w:val="0"/>
          <w:spacing w:val="39"/>
          <w:sz w:val="32"/>
          <w:szCs w:val="32"/>
        </w:rPr>
        <w:t xml:space="preserve"> </w:t>
      </w:r>
      <w:r>
        <w:rPr>
          <w:rFonts w:eastAsia="仿宋_GB2312"/>
          <w:b w:val="0"/>
          <w:sz w:val="32"/>
          <w:szCs w:val="32"/>
        </w:rPr>
        <w:t>三同时验收文件复印件；</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5.</w:t>
      </w:r>
      <w:r>
        <w:rPr>
          <w:rFonts w:eastAsia="仿宋_GB2312"/>
          <w:b w:val="0"/>
          <w:spacing w:val="39"/>
          <w:sz w:val="32"/>
          <w:szCs w:val="32"/>
        </w:rPr>
        <w:t xml:space="preserve"> </w:t>
      </w:r>
      <w:r>
        <w:rPr>
          <w:rFonts w:eastAsia="仿宋_GB2312"/>
          <w:b w:val="0"/>
          <w:sz w:val="32"/>
          <w:szCs w:val="32"/>
        </w:rPr>
        <w:t>CCC</w:t>
      </w:r>
      <w:r>
        <w:rPr>
          <w:rFonts w:eastAsia="仿宋_GB2312"/>
          <w:b w:val="0"/>
          <w:spacing w:val="-19"/>
          <w:sz w:val="32"/>
          <w:szCs w:val="32"/>
        </w:rPr>
        <w:t xml:space="preserve"> </w:t>
      </w:r>
      <w:r>
        <w:rPr>
          <w:rFonts w:eastAsia="仿宋_GB2312"/>
          <w:b w:val="0"/>
          <w:sz w:val="32"/>
          <w:szCs w:val="32"/>
        </w:rPr>
        <w:t>产品认证证书复印件（适用时）；</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6.</w:t>
      </w:r>
      <w:r>
        <w:rPr>
          <w:rFonts w:eastAsia="仿宋_GB2312"/>
          <w:b w:val="0"/>
          <w:spacing w:val="29"/>
          <w:sz w:val="32"/>
          <w:szCs w:val="32"/>
        </w:rPr>
        <w:t xml:space="preserve"> </w:t>
      </w:r>
      <w:r>
        <w:rPr>
          <w:rFonts w:eastAsia="仿宋_GB2312"/>
          <w:b w:val="0"/>
          <w:sz w:val="32"/>
          <w:szCs w:val="32"/>
        </w:rPr>
        <w:t>组织承诺或相关方要求及证据；</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7.</w:t>
      </w:r>
      <w:r>
        <w:rPr>
          <w:rFonts w:eastAsia="仿宋_GB2312"/>
          <w:b w:val="0"/>
          <w:spacing w:val="17"/>
          <w:sz w:val="32"/>
          <w:szCs w:val="32"/>
        </w:rPr>
        <w:t xml:space="preserve"> </w:t>
      </w:r>
      <w:r>
        <w:rPr>
          <w:rFonts w:eastAsia="仿宋_GB2312"/>
          <w:b w:val="0"/>
          <w:sz w:val="32"/>
          <w:szCs w:val="32"/>
        </w:rPr>
        <w:t>最高管理者承诺书（包括传达与资源）；</w:t>
      </w:r>
    </w:p>
    <w:p>
      <w:pPr>
        <w:pStyle w:val="8"/>
        <w:overflowPunct w:val="0"/>
        <w:topLinePunct/>
        <w:spacing w:line="580" w:lineRule="exact"/>
        <w:ind w:firstLine="640" w:firstLineChars="200"/>
        <w:jc w:val="both"/>
        <w:rPr>
          <w:rFonts w:eastAsia="仿宋_GB2312"/>
          <w:b w:val="0"/>
          <w:sz w:val="32"/>
          <w:szCs w:val="32"/>
        </w:rPr>
      </w:pPr>
      <w:r>
        <w:rPr>
          <w:rFonts w:eastAsia="仿宋_GB2312"/>
          <w:b w:val="0"/>
          <w:sz w:val="32"/>
          <w:szCs w:val="32"/>
        </w:rPr>
        <w:t>8.</w:t>
      </w:r>
      <w:r>
        <w:rPr>
          <w:rFonts w:eastAsia="仿宋_GB2312"/>
          <w:b w:val="0"/>
          <w:spacing w:val="49"/>
          <w:sz w:val="32"/>
          <w:szCs w:val="32"/>
        </w:rPr>
        <w:t xml:space="preserve"> </w:t>
      </w:r>
      <w:r>
        <w:rPr>
          <w:rFonts w:eastAsia="仿宋_GB2312"/>
          <w:b w:val="0"/>
          <w:sz w:val="32"/>
          <w:szCs w:val="32"/>
        </w:rPr>
        <w:t>管理者代表授权书（包括</w:t>
      </w:r>
      <w:r>
        <w:rPr>
          <w:rFonts w:eastAsia="仿宋_GB2312"/>
          <w:b w:val="0"/>
          <w:spacing w:val="-93"/>
          <w:sz w:val="32"/>
          <w:szCs w:val="32"/>
        </w:rPr>
        <w:t xml:space="preserve"> </w:t>
      </w:r>
      <w:r>
        <w:rPr>
          <w:rFonts w:eastAsia="仿宋_GB2312"/>
          <w:b w:val="0"/>
          <w:sz w:val="32"/>
          <w:szCs w:val="32"/>
        </w:rPr>
        <w:t>4</w:t>
      </w:r>
      <w:r>
        <w:rPr>
          <w:rFonts w:eastAsia="仿宋_GB2312"/>
          <w:b w:val="0"/>
          <w:spacing w:val="-14"/>
          <w:sz w:val="32"/>
          <w:szCs w:val="32"/>
        </w:rPr>
        <w:t xml:space="preserve"> </w:t>
      </w:r>
      <w:r>
        <w:rPr>
          <w:rFonts w:eastAsia="仿宋_GB2312"/>
          <w:b w:val="0"/>
          <w:sz w:val="32"/>
          <w:szCs w:val="32"/>
        </w:rPr>
        <w:t>项职责）；</w:t>
      </w:r>
    </w:p>
    <w:p>
      <w:pPr>
        <w:pStyle w:val="8"/>
        <w:overflowPunct w:val="0"/>
        <w:topLinePunct/>
        <w:spacing w:line="580" w:lineRule="exact"/>
        <w:ind w:firstLine="636" w:firstLineChars="200"/>
        <w:jc w:val="both"/>
        <w:rPr>
          <w:rFonts w:eastAsia="仿宋_GB2312"/>
          <w:b w:val="0"/>
          <w:sz w:val="32"/>
          <w:szCs w:val="32"/>
        </w:rPr>
      </w:pPr>
      <w:r>
        <w:rPr>
          <w:rFonts w:eastAsia="仿宋_GB2312"/>
          <w:b w:val="0"/>
          <w:spacing w:val="-1"/>
          <w:sz w:val="32"/>
          <w:szCs w:val="32"/>
        </w:rPr>
        <w:t>9.</w:t>
      </w:r>
      <w:r>
        <w:rPr>
          <w:rFonts w:eastAsia="仿宋_GB2312"/>
          <w:b w:val="0"/>
          <w:spacing w:val="34"/>
          <w:sz w:val="32"/>
          <w:szCs w:val="32"/>
        </w:rPr>
        <w:t xml:space="preserve"> </w:t>
      </w:r>
      <w:r>
        <w:rPr>
          <w:rFonts w:eastAsia="仿宋_GB2312"/>
          <w:b w:val="0"/>
          <w:sz w:val="32"/>
          <w:szCs w:val="32"/>
        </w:rPr>
        <w:t>管理机构的组织及相关制度；</w:t>
      </w:r>
    </w:p>
    <w:p>
      <w:pPr>
        <w:pStyle w:val="8"/>
        <w:overflowPunct w:val="0"/>
        <w:topLinePunct/>
        <w:spacing w:line="580" w:lineRule="exact"/>
        <w:ind w:firstLine="620" w:firstLineChars="200"/>
        <w:jc w:val="both"/>
        <w:rPr>
          <w:rFonts w:eastAsia="仿宋_GB2312"/>
          <w:b w:val="0"/>
          <w:sz w:val="32"/>
          <w:szCs w:val="32"/>
        </w:rPr>
      </w:pPr>
      <w:r>
        <w:rPr>
          <w:rFonts w:eastAsia="仿宋_GB2312"/>
          <w:b w:val="0"/>
          <w:spacing w:val="-5"/>
          <w:sz w:val="32"/>
          <w:szCs w:val="32"/>
        </w:rPr>
        <w:t>10.</w:t>
      </w:r>
      <w:r>
        <w:rPr>
          <w:rFonts w:eastAsia="仿宋_GB2312"/>
          <w:b w:val="0"/>
          <w:spacing w:val="12"/>
          <w:sz w:val="32"/>
          <w:szCs w:val="32"/>
        </w:rPr>
        <w:t xml:space="preserve"> </w:t>
      </w:r>
      <w:r>
        <w:rPr>
          <w:rFonts w:eastAsia="仿宋_GB2312"/>
          <w:b w:val="0"/>
          <w:sz w:val="32"/>
          <w:szCs w:val="32"/>
        </w:rPr>
        <w:t>文件化的绿色工厂建设的目标、指标、方案；</w:t>
      </w:r>
    </w:p>
    <w:p>
      <w:pPr>
        <w:pStyle w:val="8"/>
        <w:overflowPunct w:val="0"/>
        <w:topLinePunct/>
        <w:spacing w:line="580" w:lineRule="exact"/>
        <w:ind w:firstLine="636" w:firstLineChars="200"/>
        <w:jc w:val="both"/>
        <w:rPr>
          <w:rFonts w:eastAsia="仿宋_GB2312"/>
          <w:b w:val="0"/>
          <w:sz w:val="32"/>
          <w:szCs w:val="32"/>
        </w:rPr>
      </w:pPr>
      <w:r>
        <w:rPr>
          <w:rFonts w:eastAsia="仿宋_GB2312"/>
          <w:b w:val="0"/>
          <w:spacing w:val="-1"/>
          <w:sz w:val="32"/>
          <w:szCs w:val="32"/>
        </w:rPr>
        <w:t>11.</w:t>
      </w:r>
      <w:r>
        <w:rPr>
          <w:rFonts w:eastAsia="仿宋_GB2312"/>
          <w:b w:val="0"/>
          <w:spacing w:val="52"/>
          <w:sz w:val="32"/>
          <w:szCs w:val="32"/>
        </w:rPr>
        <w:t xml:space="preserve"> </w:t>
      </w:r>
      <w:r>
        <w:rPr>
          <w:rFonts w:eastAsia="仿宋_GB2312"/>
          <w:b w:val="0"/>
          <w:sz w:val="32"/>
          <w:szCs w:val="32"/>
        </w:rPr>
        <w:t>教育和培训记录;</w:t>
      </w:r>
    </w:p>
    <w:p>
      <w:pPr>
        <w:pStyle w:val="8"/>
        <w:overflowPunct w:val="0"/>
        <w:topLinePunct/>
        <w:spacing w:line="580" w:lineRule="exact"/>
        <w:ind w:firstLine="636" w:firstLineChars="200"/>
        <w:jc w:val="both"/>
        <w:rPr>
          <w:rFonts w:eastAsia="仿宋_GB2312"/>
          <w:b w:val="0"/>
          <w:sz w:val="32"/>
          <w:szCs w:val="32"/>
        </w:rPr>
      </w:pPr>
      <w:r>
        <w:rPr>
          <w:rFonts w:eastAsia="仿宋_GB2312"/>
          <w:b w:val="0"/>
          <w:spacing w:val="-1"/>
          <w:sz w:val="32"/>
          <w:szCs w:val="32"/>
        </w:rPr>
        <w:t>12.</w:t>
      </w:r>
      <w:r>
        <w:rPr>
          <w:rFonts w:eastAsia="仿宋_GB2312"/>
          <w:b w:val="0"/>
          <w:spacing w:val="15"/>
          <w:sz w:val="32"/>
          <w:szCs w:val="32"/>
        </w:rPr>
        <w:t xml:space="preserve"> </w:t>
      </w:r>
      <w:r>
        <w:rPr>
          <w:rFonts w:eastAsia="仿宋_GB2312"/>
          <w:b w:val="0"/>
          <w:sz w:val="32"/>
          <w:szCs w:val="32"/>
        </w:rPr>
        <w:t>企业三年内安全、环保设备设施运行情况；</w:t>
      </w:r>
    </w:p>
    <w:p>
      <w:pPr>
        <w:pStyle w:val="8"/>
        <w:overflowPunct w:val="0"/>
        <w:topLinePunct/>
        <w:spacing w:line="580" w:lineRule="exact"/>
        <w:ind w:firstLine="636" w:firstLineChars="200"/>
        <w:jc w:val="both"/>
        <w:rPr>
          <w:rFonts w:eastAsia="仿宋_GB2312"/>
          <w:b w:val="0"/>
          <w:sz w:val="32"/>
          <w:szCs w:val="32"/>
        </w:rPr>
      </w:pPr>
      <w:r>
        <w:rPr>
          <w:rFonts w:eastAsia="仿宋_GB2312"/>
          <w:b w:val="0"/>
          <w:spacing w:val="-1"/>
          <w:sz w:val="32"/>
          <w:szCs w:val="32"/>
        </w:rPr>
        <w:t>13.</w:t>
      </w:r>
      <w:r>
        <w:rPr>
          <w:rFonts w:eastAsia="仿宋_GB2312"/>
          <w:b w:val="0"/>
          <w:spacing w:val="40"/>
          <w:sz w:val="32"/>
          <w:szCs w:val="32"/>
        </w:rPr>
        <w:t xml:space="preserve"> </w:t>
      </w:r>
      <w:r>
        <w:rPr>
          <w:rFonts w:eastAsia="仿宋_GB2312"/>
          <w:b w:val="0"/>
          <w:sz w:val="32"/>
          <w:szCs w:val="32"/>
        </w:rPr>
        <w:t>相关管理体系认证证书；</w:t>
      </w:r>
    </w:p>
    <w:p>
      <w:pPr>
        <w:pStyle w:val="8"/>
        <w:overflowPunct w:val="0"/>
        <w:topLinePunct/>
        <w:spacing w:line="580" w:lineRule="exact"/>
        <w:ind w:firstLine="636" w:firstLineChars="200"/>
        <w:jc w:val="both"/>
        <w:rPr>
          <w:rFonts w:eastAsia="仿宋_GB2312"/>
          <w:b w:val="0"/>
          <w:spacing w:val="-5"/>
          <w:sz w:val="32"/>
          <w:szCs w:val="32"/>
        </w:rPr>
      </w:pPr>
      <w:r>
        <w:rPr>
          <w:rFonts w:eastAsia="仿宋_GB2312"/>
          <w:b w:val="0"/>
          <w:spacing w:val="-1"/>
          <w:sz w:val="32"/>
          <w:szCs w:val="32"/>
        </w:rPr>
        <w:t>14.</w:t>
      </w:r>
      <w:r>
        <w:rPr>
          <w:rFonts w:eastAsia="仿宋_GB2312"/>
          <w:b w:val="0"/>
          <w:spacing w:val="5"/>
          <w:sz w:val="32"/>
          <w:szCs w:val="32"/>
        </w:rPr>
        <w:t xml:space="preserve"> </w:t>
      </w:r>
      <w:r>
        <w:rPr>
          <w:rFonts w:eastAsia="仿宋_GB2312"/>
          <w:b w:val="0"/>
          <w:spacing w:val="3"/>
          <w:sz w:val="32"/>
          <w:szCs w:val="32"/>
        </w:rPr>
        <w:t>厂</w:t>
      </w:r>
      <w:r>
        <w:rPr>
          <w:rFonts w:eastAsia="仿宋_GB2312"/>
          <w:b w:val="0"/>
          <w:spacing w:val="-5"/>
          <w:sz w:val="32"/>
          <w:szCs w:val="32"/>
        </w:rPr>
        <w:t>房平面布置图（包括空间布局图、计量设备布置图）；</w:t>
      </w:r>
    </w:p>
    <w:p>
      <w:pPr>
        <w:pStyle w:val="8"/>
        <w:overflowPunct w:val="0"/>
        <w:topLinePunct/>
        <w:spacing w:line="580" w:lineRule="exact"/>
        <w:ind w:firstLine="640"/>
        <w:jc w:val="both"/>
        <w:rPr>
          <w:rFonts w:eastAsia="仿宋_GB2312"/>
          <w:b w:val="0"/>
          <w:sz w:val="32"/>
          <w:szCs w:val="32"/>
        </w:rPr>
      </w:pPr>
      <w:r>
        <w:rPr>
          <w:rFonts w:eastAsia="仿宋_GB2312"/>
          <w:b w:val="0"/>
          <w:spacing w:val="-1"/>
          <w:sz w:val="32"/>
          <w:szCs w:val="32"/>
        </w:rPr>
        <w:t>15.</w:t>
      </w:r>
      <w:r>
        <w:rPr>
          <w:rFonts w:eastAsia="仿宋_GB2312"/>
          <w:b w:val="0"/>
          <w:spacing w:val="29"/>
          <w:sz w:val="32"/>
          <w:szCs w:val="32"/>
        </w:rPr>
        <w:t xml:space="preserve"> </w:t>
      </w:r>
      <w:r>
        <w:rPr>
          <w:rFonts w:eastAsia="仿宋_GB2312"/>
          <w:b w:val="0"/>
          <w:spacing w:val="3"/>
          <w:sz w:val="32"/>
          <w:szCs w:val="32"/>
        </w:rPr>
        <w:t>计量设备清单、用能设备清单、污染物处理设备清</w:t>
      </w:r>
      <w:r>
        <w:rPr>
          <w:rFonts w:eastAsia="仿宋_GB2312"/>
          <w:b w:val="0"/>
          <w:sz w:val="32"/>
          <w:szCs w:val="32"/>
        </w:rPr>
        <w:t>单、原材料清单等；</w:t>
      </w:r>
    </w:p>
    <w:p>
      <w:pPr>
        <w:pStyle w:val="8"/>
        <w:overflowPunct w:val="0"/>
        <w:topLinePunct/>
        <w:spacing w:line="580" w:lineRule="exact"/>
        <w:ind w:firstLine="640"/>
        <w:jc w:val="both"/>
        <w:rPr>
          <w:rFonts w:eastAsia="仿宋_GB2312"/>
          <w:b w:val="0"/>
          <w:sz w:val="32"/>
          <w:szCs w:val="32"/>
        </w:rPr>
      </w:pPr>
      <w:r>
        <w:rPr>
          <w:rFonts w:eastAsia="仿宋_GB2312"/>
          <w:b w:val="0"/>
          <w:spacing w:val="-1"/>
          <w:sz w:val="32"/>
          <w:szCs w:val="32"/>
        </w:rPr>
        <w:t>16.</w:t>
      </w:r>
      <w:r>
        <w:rPr>
          <w:rFonts w:eastAsia="仿宋_GB2312"/>
          <w:b w:val="0"/>
          <w:spacing w:val="29"/>
          <w:sz w:val="32"/>
          <w:szCs w:val="32"/>
        </w:rPr>
        <w:t xml:space="preserve"> </w:t>
      </w:r>
      <w:r>
        <w:rPr>
          <w:rFonts w:eastAsia="仿宋_GB2312"/>
          <w:b w:val="0"/>
          <w:spacing w:val="3"/>
          <w:sz w:val="32"/>
          <w:szCs w:val="32"/>
        </w:rPr>
        <w:t>合格供应商名录及其评价表、采购立项审批文件、</w:t>
      </w:r>
      <w:r>
        <w:rPr>
          <w:rFonts w:eastAsia="仿宋_GB2312"/>
          <w:b w:val="0"/>
          <w:spacing w:val="34"/>
          <w:w w:val="99"/>
          <w:sz w:val="32"/>
          <w:szCs w:val="32"/>
        </w:rPr>
        <w:t xml:space="preserve"> </w:t>
      </w:r>
      <w:r>
        <w:rPr>
          <w:rFonts w:eastAsia="仿宋_GB2312"/>
          <w:b w:val="0"/>
          <w:sz w:val="32"/>
          <w:szCs w:val="32"/>
        </w:rPr>
        <w:t>程序文件、招投标文件等；</w:t>
      </w:r>
    </w:p>
    <w:p>
      <w:pPr>
        <w:pStyle w:val="8"/>
        <w:overflowPunct w:val="0"/>
        <w:topLinePunct/>
        <w:spacing w:line="580" w:lineRule="exact"/>
        <w:ind w:firstLine="640"/>
        <w:jc w:val="both"/>
        <w:rPr>
          <w:rFonts w:eastAsia="仿宋_GB2312"/>
          <w:b w:val="0"/>
          <w:sz w:val="32"/>
          <w:szCs w:val="32"/>
        </w:rPr>
      </w:pPr>
      <w:r>
        <w:rPr>
          <w:rFonts w:eastAsia="仿宋_GB2312"/>
          <w:b w:val="0"/>
          <w:spacing w:val="-1"/>
          <w:sz w:val="32"/>
          <w:szCs w:val="32"/>
        </w:rPr>
        <w:t>17.</w:t>
      </w:r>
      <w:r>
        <w:rPr>
          <w:rFonts w:eastAsia="仿宋_GB2312"/>
          <w:b w:val="0"/>
          <w:spacing w:val="29"/>
          <w:sz w:val="32"/>
          <w:szCs w:val="32"/>
        </w:rPr>
        <w:t xml:space="preserve"> </w:t>
      </w:r>
      <w:r>
        <w:rPr>
          <w:rFonts w:eastAsia="仿宋_GB2312"/>
          <w:b w:val="0"/>
          <w:sz w:val="32"/>
          <w:szCs w:val="32"/>
        </w:rPr>
        <w:t>已采用的余热利用、分布式供能、自然冷源、水循环利用、高效照明等技术的情况说明（包括技术说明、实施情况和现场照片）；</w:t>
      </w:r>
    </w:p>
    <w:p>
      <w:pPr>
        <w:pStyle w:val="8"/>
        <w:overflowPunct w:val="0"/>
        <w:topLinePunct/>
        <w:spacing w:line="580" w:lineRule="exact"/>
        <w:ind w:firstLine="640"/>
        <w:jc w:val="both"/>
        <w:rPr>
          <w:rFonts w:eastAsia="仿宋_GB2312"/>
          <w:b w:val="0"/>
          <w:sz w:val="32"/>
          <w:szCs w:val="32"/>
        </w:rPr>
      </w:pPr>
      <w:r>
        <w:rPr>
          <w:rFonts w:eastAsia="仿宋_GB2312"/>
          <w:b w:val="0"/>
          <w:spacing w:val="-1"/>
          <w:sz w:val="32"/>
          <w:szCs w:val="32"/>
        </w:rPr>
        <w:t>18.</w:t>
      </w:r>
      <w:r>
        <w:rPr>
          <w:rFonts w:eastAsia="仿宋_GB2312"/>
          <w:b w:val="0"/>
          <w:spacing w:val="29"/>
          <w:sz w:val="32"/>
          <w:szCs w:val="32"/>
        </w:rPr>
        <w:t xml:space="preserve"> </w:t>
      </w:r>
      <w:r>
        <w:rPr>
          <w:rFonts w:eastAsia="仿宋_GB2312"/>
          <w:b w:val="0"/>
          <w:spacing w:val="3"/>
          <w:sz w:val="32"/>
          <w:szCs w:val="32"/>
        </w:rPr>
        <w:t>能源消耗量、资源消耗量等绩效指标计算说明（包</w:t>
      </w:r>
      <w:r>
        <w:rPr>
          <w:rFonts w:eastAsia="仿宋_GB2312"/>
          <w:b w:val="0"/>
          <w:sz w:val="32"/>
          <w:szCs w:val="32"/>
        </w:rPr>
        <w:t>括使用的标准、计算边界、排放因数、计算过程等）；</w:t>
      </w:r>
    </w:p>
    <w:p>
      <w:pPr>
        <w:pStyle w:val="8"/>
        <w:overflowPunct w:val="0"/>
        <w:topLinePunct/>
        <w:spacing w:line="580" w:lineRule="exact"/>
        <w:ind w:firstLine="640"/>
        <w:jc w:val="both"/>
        <w:rPr>
          <w:rFonts w:eastAsia="仿宋_GB2312"/>
          <w:b w:val="0"/>
          <w:sz w:val="32"/>
          <w:szCs w:val="32"/>
        </w:rPr>
      </w:pPr>
      <w:r>
        <w:rPr>
          <w:rFonts w:eastAsia="仿宋_GB2312"/>
          <w:b w:val="0"/>
          <w:spacing w:val="-1"/>
          <w:sz w:val="32"/>
          <w:szCs w:val="32"/>
        </w:rPr>
        <w:t>19.</w:t>
      </w:r>
      <w:r>
        <w:rPr>
          <w:rFonts w:eastAsia="仿宋_GB2312"/>
          <w:b w:val="0"/>
          <w:spacing w:val="29"/>
          <w:sz w:val="32"/>
          <w:szCs w:val="32"/>
        </w:rPr>
        <w:t xml:space="preserve"> </w:t>
      </w:r>
      <w:r>
        <w:rPr>
          <w:rFonts w:eastAsia="仿宋_GB2312"/>
          <w:b w:val="0"/>
          <w:spacing w:val="3"/>
          <w:sz w:val="32"/>
          <w:szCs w:val="32"/>
        </w:rPr>
        <w:t>申报工厂已获得的国家、地方、行业节能环保相关</w:t>
      </w:r>
      <w:r>
        <w:rPr>
          <w:rFonts w:eastAsia="仿宋_GB2312"/>
          <w:b w:val="0"/>
          <w:sz w:val="32"/>
          <w:szCs w:val="32"/>
        </w:rPr>
        <w:t>奖励证书等。</w:t>
      </w:r>
    </w:p>
    <w:p>
      <w:pPr>
        <w:pStyle w:val="8"/>
        <w:overflowPunct w:val="0"/>
        <w:topLinePunct/>
        <w:spacing w:line="580" w:lineRule="exact"/>
        <w:ind w:firstLine="531" w:firstLineChars="166"/>
        <w:jc w:val="both"/>
        <w:rPr>
          <w:szCs w:val="32"/>
        </w:rPr>
        <w:sectPr>
          <w:footerReference r:id="rId3" w:type="default"/>
          <w:footerReference r:id="rId4" w:type="even"/>
          <w:pgSz w:w="11906" w:h="16838"/>
          <w:pgMar w:top="1985" w:right="1531" w:bottom="1985" w:left="1531" w:header="851" w:footer="1588" w:gutter="0"/>
          <w:pgNumType w:start="1"/>
          <w:cols w:space="720" w:num="1"/>
          <w:docGrid w:linePitch="587" w:charSpace="0"/>
        </w:sectPr>
      </w:pPr>
      <w:r>
        <w:rPr>
          <w:rFonts w:eastAsia="黑体"/>
          <w:b w:val="0"/>
          <w:sz w:val="32"/>
          <w:szCs w:val="32"/>
        </w:rPr>
        <w:t>八、评价机构营业执照及能力等有关证明材料</w:t>
      </w:r>
      <w:r>
        <w:rPr>
          <w:rFonts w:eastAsia="仿宋"/>
          <w:bCs w:val="0"/>
          <w:sz w:val="32"/>
          <w:szCs w:val="32"/>
        </w:rPr>
        <w:t>（</w:t>
      </w:r>
      <w:r>
        <w:rPr>
          <w:rFonts w:eastAsia="仿宋_GB2312"/>
          <w:spacing w:val="3"/>
          <w:sz w:val="32"/>
          <w:szCs w:val="32"/>
        </w:rPr>
        <w:t xml:space="preserve">资质能力有关证明材料参考工信部绿色工厂评价机构要求提供）。 </w:t>
      </w:r>
    </w:p>
    <w:p>
      <w:pPr>
        <w:overflowPunct w:val="0"/>
        <w:topLinePunct/>
        <w:rPr>
          <w:rFonts w:eastAsia="黑体"/>
          <w:sz w:val="36"/>
          <w:szCs w:val="36"/>
        </w:rPr>
      </w:pPr>
      <w:r>
        <w:rPr>
          <w:rFonts w:eastAsia="黑体"/>
          <w:sz w:val="32"/>
          <w:szCs w:val="32"/>
        </w:rPr>
        <w:t xml:space="preserve">附表1 </w:t>
      </w:r>
      <w:r>
        <w:rPr>
          <w:rFonts w:eastAsia="黑体"/>
          <w:sz w:val="36"/>
          <w:szCs w:val="36"/>
        </w:rPr>
        <w:t xml:space="preserve"> </w:t>
      </w:r>
    </w:p>
    <w:p>
      <w:pPr>
        <w:pStyle w:val="3"/>
        <w:overflowPunct w:val="0"/>
        <w:topLinePunct/>
        <w:spacing w:line="460" w:lineRule="exact"/>
        <w:ind w:left="60"/>
        <w:jc w:val="center"/>
        <w:rPr>
          <w:rFonts w:ascii="Times New Roman" w:hAnsi="Times New Roman" w:eastAsia="方正小标宋简体" w:cs="Times New Roman"/>
          <w:b w:val="0"/>
          <w:sz w:val="44"/>
          <w:szCs w:val="44"/>
        </w:rPr>
      </w:pPr>
      <w:r>
        <w:rPr>
          <w:rFonts w:ascii="Times New Roman" w:hAnsi="Times New Roman" w:eastAsia="方正小标宋简体" w:cs="Times New Roman"/>
          <w:b w:val="0"/>
          <w:sz w:val="44"/>
          <w:szCs w:val="44"/>
        </w:rPr>
        <w:t>绿色工厂基本要求评价表</w:t>
      </w:r>
    </w:p>
    <w:p>
      <w:pPr>
        <w:pStyle w:val="8"/>
        <w:tabs>
          <w:tab w:val="left" w:pos="957"/>
        </w:tabs>
        <w:overflowPunct w:val="0"/>
        <w:topLinePunct/>
        <w:adjustRightInd w:val="0"/>
        <w:ind w:left="57"/>
        <w:rPr>
          <w:sz w:val="30"/>
        </w:rPr>
      </w:pPr>
      <w:r>
        <w:rPr>
          <w:b w:val="0"/>
          <w:w w:val="95"/>
          <w:sz w:val="30"/>
        </w:rPr>
        <w:t>（</w:t>
      </w:r>
      <w:r>
        <w:rPr>
          <w:rFonts w:eastAsia="Times New Roman"/>
          <w:b w:val="0"/>
          <w:w w:val="95"/>
          <w:sz w:val="30"/>
        </w:rPr>
        <w:t>20</w:t>
      </w:r>
      <w:r>
        <w:rPr>
          <w:rFonts w:eastAsia="Times New Roman"/>
          <w:b w:val="0"/>
          <w:w w:val="95"/>
          <w:sz w:val="30"/>
        </w:rPr>
        <w:tab/>
      </w:r>
      <w:r>
        <w:rPr>
          <w:b w:val="0"/>
          <w:sz w:val="30"/>
        </w:rPr>
        <w:t>年）</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8067"/>
        <w:gridCol w:w="1425"/>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376" w:type="pct"/>
            <w:gridSpan w:val="2"/>
            <w:vAlign w:val="center"/>
          </w:tcPr>
          <w:p>
            <w:pPr>
              <w:overflowPunct w:val="0"/>
              <w:topLinePunct/>
              <w:adjustRightInd w:val="0"/>
              <w:spacing w:line="400" w:lineRule="exact"/>
              <w:jc w:val="center"/>
              <w:rPr>
                <w:rFonts w:eastAsia="仿宋_GB2312"/>
              </w:rPr>
            </w:pPr>
            <w:r>
              <w:rPr>
                <w:rFonts w:eastAsia="仿宋_GB2312"/>
                <w:b/>
                <w:sz w:val="24"/>
              </w:rPr>
              <w:t>基本要求</w:t>
            </w:r>
          </w:p>
        </w:tc>
        <w:tc>
          <w:tcPr>
            <w:tcW w:w="482" w:type="pct"/>
            <w:vAlign w:val="center"/>
          </w:tcPr>
          <w:p>
            <w:pPr>
              <w:overflowPunct w:val="0"/>
              <w:topLinePunct/>
              <w:adjustRightInd w:val="0"/>
              <w:spacing w:line="400" w:lineRule="exact"/>
              <w:jc w:val="center"/>
              <w:rPr>
                <w:rFonts w:eastAsia="仿宋_GB2312"/>
              </w:rPr>
            </w:pPr>
            <w:r>
              <w:rPr>
                <w:rFonts w:eastAsia="仿宋_GB2312"/>
                <w:b/>
                <w:sz w:val="24"/>
              </w:rPr>
              <w:t>是否符合</w:t>
            </w:r>
          </w:p>
        </w:tc>
        <w:tc>
          <w:tcPr>
            <w:tcW w:w="1142" w:type="pct"/>
            <w:vAlign w:val="center"/>
          </w:tcPr>
          <w:p>
            <w:pPr>
              <w:overflowPunct w:val="0"/>
              <w:topLinePunct/>
              <w:adjustRightInd w:val="0"/>
              <w:spacing w:line="400" w:lineRule="exact"/>
              <w:jc w:val="center"/>
              <w:rPr>
                <w:rFonts w:eastAsia="仿宋_GB2312"/>
              </w:rPr>
            </w:pPr>
            <w:r>
              <w:rPr>
                <w:rFonts w:eastAsia="仿宋_GB2312"/>
                <w:b/>
                <w:sz w:val="24"/>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8" w:type="pct"/>
            <w:vMerge w:val="restart"/>
            <w:vAlign w:val="center"/>
          </w:tcPr>
          <w:p>
            <w:pPr>
              <w:overflowPunct w:val="0"/>
              <w:topLinePunct/>
              <w:adjustRightInd w:val="0"/>
              <w:spacing w:line="400" w:lineRule="exact"/>
              <w:jc w:val="left"/>
              <w:rPr>
                <w:rFonts w:eastAsia="仿宋_GB2312"/>
              </w:rPr>
            </w:pPr>
            <w:r>
              <w:rPr>
                <w:rFonts w:eastAsia="仿宋_GB2312"/>
                <w:spacing w:val="14"/>
                <w:sz w:val="24"/>
              </w:rPr>
              <w:t>基础合规性与</w:t>
            </w:r>
            <w:r>
              <w:rPr>
                <w:rFonts w:eastAsia="仿宋_GB2312"/>
                <w:sz w:val="24"/>
              </w:rPr>
              <w:t>相关方要求</w:t>
            </w:r>
          </w:p>
        </w:tc>
        <w:tc>
          <w:tcPr>
            <w:tcW w:w="2728" w:type="pct"/>
          </w:tcPr>
          <w:p>
            <w:pPr>
              <w:pStyle w:val="47"/>
              <w:widowControl w:val="0"/>
              <w:overflowPunct w:val="0"/>
              <w:topLinePunct/>
              <w:adjustRightInd w:val="0"/>
              <w:spacing w:before="87" w:line="360" w:lineRule="exact"/>
              <w:ind w:right="95"/>
              <w:rPr>
                <w:rFonts w:eastAsia="仿宋_GB2312"/>
              </w:rPr>
            </w:pPr>
            <w:r>
              <w:rPr>
                <w:rFonts w:eastAsia="仿宋_GB2312"/>
              </w:rPr>
              <w:t>绿色工厂应依法设立，在建设和生产过程中应遵守有关法律、 法规、政策和标准。</w:t>
            </w:r>
          </w:p>
        </w:tc>
        <w:tc>
          <w:tcPr>
            <w:tcW w:w="482" w:type="pct"/>
          </w:tcPr>
          <w:p>
            <w:pPr>
              <w:overflowPunct w:val="0"/>
              <w:topLinePunct/>
              <w:adjustRightInd w:val="0"/>
              <w:spacing w:line="400" w:lineRule="exact"/>
              <w:rPr>
                <w:rFonts w:eastAsia="仿宋_GB2312"/>
              </w:rPr>
            </w:pPr>
          </w:p>
        </w:tc>
        <w:tc>
          <w:tcPr>
            <w:tcW w:w="1142" w:type="pct"/>
          </w:tcPr>
          <w:p>
            <w:pPr>
              <w:overflowPunct w:val="0"/>
              <w:topLinePunct/>
              <w:adjustRightInd w:val="0"/>
              <w:spacing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8" w:type="pct"/>
            <w:vMerge w:val="continue"/>
            <w:vAlign w:val="center"/>
          </w:tcPr>
          <w:p>
            <w:pPr>
              <w:overflowPunct w:val="0"/>
              <w:topLinePunct/>
              <w:adjustRightInd w:val="0"/>
              <w:spacing w:line="400" w:lineRule="exact"/>
              <w:jc w:val="center"/>
              <w:rPr>
                <w:rFonts w:eastAsia="仿宋_GB2312"/>
              </w:rPr>
            </w:pPr>
          </w:p>
        </w:tc>
        <w:tc>
          <w:tcPr>
            <w:tcW w:w="2728" w:type="pct"/>
          </w:tcPr>
          <w:p>
            <w:pPr>
              <w:pStyle w:val="47"/>
              <w:widowControl w:val="0"/>
              <w:overflowPunct w:val="0"/>
              <w:topLinePunct/>
              <w:adjustRightInd w:val="0"/>
              <w:spacing w:before="54" w:line="360" w:lineRule="exact"/>
              <w:ind w:right="100"/>
              <w:rPr>
                <w:rFonts w:eastAsia="仿宋_GB2312"/>
              </w:rPr>
            </w:pPr>
            <w:r>
              <w:rPr>
                <w:rFonts w:eastAsia="仿宋_GB2312"/>
                <w:spacing w:val="-1"/>
              </w:rPr>
              <w:t>近三年（含成立不足三年）无较大及以上安全、环保、质量等</w:t>
            </w:r>
            <w:r>
              <w:rPr>
                <w:rFonts w:eastAsia="仿宋_GB2312"/>
              </w:rPr>
              <w:t>事故，</w:t>
            </w:r>
            <w:r>
              <w:rPr>
                <w:rFonts w:eastAsia="仿宋_GB2312"/>
                <w:spacing w:val="-1"/>
              </w:rPr>
              <w:t>未被列入失信企业、法人代表黑名单</w:t>
            </w:r>
          </w:p>
        </w:tc>
        <w:tc>
          <w:tcPr>
            <w:tcW w:w="482" w:type="pct"/>
          </w:tcPr>
          <w:p>
            <w:pPr>
              <w:overflowPunct w:val="0"/>
              <w:topLinePunct/>
              <w:adjustRightInd w:val="0"/>
              <w:spacing w:line="400" w:lineRule="exact"/>
              <w:rPr>
                <w:rFonts w:eastAsia="仿宋_GB2312"/>
              </w:rPr>
            </w:pPr>
          </w:p>
        </w:tc>
        <w:tc>
          <w:tcPr>
            <w:tcW w:w="1142" w:type="pct"/>
          </w:tcPr>
          <w:p>
            <w:pPr>
              <w:overflowPunct w:val="0"/>
              <w:topLinePunct/>
              <w:adjustRightInd w:val="0"/>
              <w:spacing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8" w:type="pct"/>
            <w:vMerge w:val="continue"/>
            <w:vAlign w:val="center"/>
          </w:tcPr>
          <w:p>
            <w:pPr>
              <w:overflowPunct w:val="0"/>
              <w:topLinePunct/>
              <w:adjustRightInd w:val="0"/>
              <w:spacing w:line="400" w:lineRule="exact"/>
              <w:jc w:val="center"/>
              <w:rPr>
                <w:rFonts w:eastAsia="仿宋_GB2312"/>
              </w:rPr>
            </w:pPr>
          </w:p>
        </w:tc>
        <w:tc>
          <w:tcPr>
            <w:tcW w:w="2728" w:type="pct"/>
          </w:tcPr>
          <w:p>
            <w:pPr>
              <w:pStyle w:val="47"/>
              <w:widowControl w:val="0"/>
              <w:overflowPunct w:val="0"/>
              <w:topLinePunct/>
              <w:adjustRightInd w:val="0"/>
              <w:spacing w:line="360" w:lineRule="exact"/>
              <w:ind w:left="102"/>
              <w:rPr>
                <w:rFonts w:eastAsia="仿宋_GB2312"/>
              </w:rPr>
            </w:pPr>
            <w:r>
              <w:rPr>
                <w:rFonts w:eastAsia="仿宋_GB2312"/>
                <w:spacing w:val="-1"/>
              </w:rPr>
              <w:t>对利益相关方的环境要求做出承诺的，应同时满足有关承诺的</w:t>
            </w:r>
            <w:r>
              <w:rPr>
                <w:rFonts w:eastAsia="仿宋_GB2312"/>
              </w:rPr>
              <w:t>要求。</w:t>
            </w:r>
          </w:p>
        </w:tc>
        <w:tc>
          <w:tcPr>
            <w:tcW w:w="482" w:type="pct"/>
          </w:tcPr>
          <w:p>
            <w:pPr>
              <w:overflowPunct w:val="0"/>
              <w:topLinePunct/>
              <w:adjustRightInd w:val="0"/>
              <w:spacing w:line="400" w:lineRule="exact"/>
              <w:rPr>
                <w:rFonts w:eastAsia="仿宋_GB2312"/>
              </w:rPr>
            </w:pPr>
          </w:p>
        </w:tc>
        <w:tc>
          <w:tcPr>
            <w:tcW w:w="1142" w:type="pct"/>
          </w:tcPr>
          <w:p>
            <w:pPr>
              <w:overflowPunct w:val="0"/>
              <w:topLinePunct/>
              <w:adjustRightInd w:val="0"/>
              <w:spacing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8" w:type="pct"/>
            <w:vMerge w:val="restart"/>
            <w:vAlign w:val="center"/>
          </w:tcPr>
          <w:p>
            <w:pPr>
              <w:pStyle w:val="47"/>
              <w:widowControl w:val="0"/>
              <w:overflowPunct w:val="0"/>
              <w:topLinePunct/>
              <w:adjustRightInd w:val="0"/>
              <w:spacing w:before="125" w:line="400" w:lineRule="exact"/>
              <w:ind w:left="103"/>
              <w:rPr>
                <w:rFonts w:eastAsia="仿宋_GB2312"/>
              </w:rPr>
            </w:pPr>
            <w:r>
              <w:rPr>
                <w:rFonts w:eastAsia="仿宋_GB2312"/>
                <w:spacing w:val="14"/>
              </w:rPr>
              <w:t>基础管理职责——最高管理</w:t>
            </w:r>
            <w:r>
              <w:rPr>
                <w:rFonts w:eastAsia="仿宋_GB2312"/>
              </w:rPr>
              <w:t>者</w:t>
            </w:r>
          </w:p>
        </w:tc>
        <w:tc>
          <w:tcPr>
            <w:tcW w:w="2728" w:type="pct"/>
          </w:tcPr>
          <w:p>
            <w:pPr>
              <w:pStyle w:val="47"/>
              <w:widowControl w:val="0"/>
              <w:overflowPunct w:val="0"/>
              <w:topLinePunct/>
              <w:adjustRightInd w:val="0"/>
              <w:spacing w:line="360" w:lineRule="exact"/>
              <w:rPr>
                <w:rFonts w:eastAsia="仿宋_GB2312"/>
              </w:rPr>
            </w:pPr>
            <w:r>
              <w:rPr>
                <w:rFonts w:eastAsia="仿宋_GB2312"/>
              </w:rPr>
              <w:t>最高管理者在绿色工厂方面的领导作用和承诺满足</w:t>
            </w:r>
            <w:r>
              <w:rPr>
                <w:rFonts w:eastAsia="仿宋_GB2312"/>
                <w:spacing w:val="-65"/>
              </w:rPr>
              <w:t xml:space="preserve"> </w:t>
            </w:r>
            <w:r>
              <w:rPr>
                <w:rFonts w:eastAsia="仿宋_GB2312"/>
              </w:rPr>
              <w:t>GB/T</w:t>
            </w:r>
            <w:r>
              <w:rPr>
                <w:rFonts w:eastAsia="仿宋_GB2312"/>
                <w:spacing w:val="-60"/>
              </w:rPr>
              <w:t xml:space="preserve"> </w:t>
            </w:r>
            <w:r>
              <w:rPr>
                <w:rFonts w:eastAsia="仿宋_GB2312"/>
              </w:rPr>
              <w:t>361324.3.1 a)的要求。</w:t>
            </w:r>
          </w:p>
        </w:tc>
        <w:tc>
          <w:tcPr>
            <w:tcW w:w="482" w:type="pct"/>
          </w:tcPr>
          <w:p>
            <w:pPr>
              <w:overflowPunct w:val="0"/>
              <w:topLinePunct/>
              <w:adjustRightInd w:val="0"/>
              <w:spacing w:line="400" w:lineRule="exact"/>
              <w:rPr>
                <w:rFonts w:eastAsia="仿宋_GB2312"/>
              </w:rPr>
            </w:pPr>
          </w:p>
        </w:tc>
        <w:tc>
          <w:tcPr>
            <w:tcW w:w="1142" w:type="pct"/>
          </w:tcPr>
          <w:p>
            <w:pPr>
              <w:overflowPunct w:val="0"/>
              <w:topLinePunct/>
              <w:adjustRightInd w:val="0"/>
              <w:spacing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8" w:type="pct"/>
            <w:vMerge w:val="continue"/>
            <w:vAlign w:val="center"/>
          </w:tcPr>
          <w:p>
            <w:pPr>
              <w:overflowPunct w:val="0"/>
              <w:topLinePunct/>
              <w:adjustRightInd w:val="0"/>
              <w:spacing w:line="400" w:lineRule="exact"/>
              <w:jc w:val="center"/>
              <w:rPr>
                <w:rFonts w:eastAsia="仿宋_GB2312"/>
              </w:rPr>
            </w:pPr>
          </w:p>
        </w:tc>
        <w:tc>
          <w:tcPr>
            <w:tcW w:w="2728" w:type="pct"/>
          </w:tcPr>
          <w:p>
            <w:pPr>
              <w:pStyle w:val="47"/>
              <w:widowControl w:val="0"/>
              <w:overflowPunct w:val="0"/>
              <w:topLinePunct/>
              <w:adjustRightInd w:val="0"/>
              <w:spacing w:line="360" w:lineRule="exact"/>
              <w:rPr>
                <w:rFonts w:eastAsia="仿宋_GB2312"/>
              </w:rPr>
            </w:pPr>
            <w:r>
              <w:rPr>
                <w:rFonts w:eastAsia="仿宋_GB2312"/>
                <w:spacing w:val="8"/>
              </w:rPr>
              <w:t>最高管理者确保在工厂内部分配并沟通与绿色工厂相关角色</w:t>
            </w:r>
            <w:r>
              <w:rPr>
                <w:rFonts w:eastAsia="仿宋_GB2312"/>
              </w:rPr>
              <w:t>的职责和权限，且满足</w:t>
            </w:r>
            <w:r>
              <w:rPr>
                <w:rFonts w:eastAsia="仿宋_GB2312"/>
                <w:spacing w:val="-60"/>
              </w:rPr>
              <w:t xml:space="preserve"> </w:t>
            </w:r>
            <w:r>
              <w:rPr>
                <w:rFonts w:eastAsia="仿宋_GB2312"/>
              </w:rPr>
              <w:t>GB/T 36132 中</w:t>
            </w:r>
            <w:r>
              <w:rPr>
                <w:rFonts w:eastAsia="仿宋_GB2312"/>
                <w:spacing w:val="-60"/>
              </w:rPr>
              <w:t xml:space="preserve"> </w:t>
            </w:r>
            <w:r>
              <w:rPr>
                <w:rFonts w:eastAsia="仿宋_GB2312"/>
              </w:rPr>
              <w:t>4.3.1 b)的要求。</w:t>
            </w:r>
          </w:p>
        </w:tc>
        <w:tc>
          <w:tcPr>
            <w:tcW w:w="482" w:type="pct"/>
          </w:tcPr>
          <w:p>
            <w:pPr>
              <w:overflowPunct w:val="0"/>
              <w:topLinePunct/>
              <w:adjustRightInd w:val="0"/>
              <w:spacing w:line="400" w:lineRule="exact"/>
              <w:rPr>
                <w:rFonts w:eastAsia="仿宋_GB2312"/>
              </w:rPr>
            </w:pPr>
          </w:p>
        </w:tc>
        <w:tc>
          <w:tcPr>
            <w:tcW w:w="1142" w:type="pct"/>
          </w:tcPr>
          <w:p>
            <w:pPr>
              <w:overflowPunct w:val="0"/>
              <w:topLinePunct/>
              <w:adjustRightInd w:val="0"/>
              <w:spacing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8" w:type="pct"/>
            <w:vMerge w:val="restart"/>
            <w:vAlign w:val="center"/>
          </w:tcPr>
          <w:p>
            <w:pPr>
              <w:pStyle w:val="47"/>
              <w:widowControl w:val="0"/>
              <w:overflowPunct w:val="0"/>
              <w:topLinePunct/>
              <w:adjustRightInd w:val="0"/>
              <w:spacing w:line="400" w:lineRule="exact"/>
              <w:ind w:left="103"/>
              <w:jc w:val="center"/>
              <w:rPr>
                <w:rFonts w:eastAsia="仿宋_GB2312"/>
              </w:rPr>
            </w:pPr>
            <w:r>
              <w:rPr>
                <w:rFonts w:eastAsia="仿宋_GB2312"/>
                <w:spacing w:val="14"/>
              </w:rPr>
              <w:t>基础管理职责</w:t>
            </w:r>
            <w:r>
              <w:rPr>
                <w:rFonts w:eastAsia="仿宋_GB2312"/>
              </w:rPr>
              <w:t>——工厂</w:t>
            </w:r>
          </w:p>
        </w:tc>
        <w:tc>
          <w:tcPr>
            <w:tcW w:w="2728" w:type="pct"/>
          </w:tcPr>
          <w:p>
            <w:pPr>
              <w:pStyle w:val="47"/>
              <w:widowControl w:val="0"/>
              <w:overflowPunct w:val="0"/>
              <w:topLinePunct/>
              <w:adjustRightInd w:val="0"/>
              <w:spacing w:line="360" w:lineRule="exact"/>
              <w:rPr>
                <w:rFonts w:eastAsia="仿宋_GB2312"/>
              </w:rPr>
            </w:pPr>
            <w:r>
              <w:rPr>
                <w:rFonts w:eastAsia="仿宋_GB2312"/>
                <w:spacing w:val="-1"/>
              </w:rPr>
              <w:t>应设有绿色工厂管理机构，负责有关绿色工厂的制度建设、实</w:t>
            </w:r>
            <w:r>
              <w:rPr>
                <w:rFonts w:eastAsia="仿宋_GB2312"/>
              </w:rPr>
              <w:t>施、考核及奖励工作，建立目标责任制。</w:t>
            </w:r>
          </w:p>
        </w:tc>
        <w:tc>
          <w:tcPr>
            <w:tcW w:w="482" w:type="pct"/>
          </w:tcPr>
          <w:p>
            <w:pPr>
              <w:overflowPunct w:val="0"/>
              <w:topLinePunct/>
              <w:adjustRightInd w:val="0"/>
              <w:spacing w:line="400" w:lineRule="exact"/>
              <w:rPr>
                <w:rFonts w:eastAsia="仿宋_GB2312"/>
              </w:rPr>
            </w:pPr>
          </w:p>
        </w:tc>
        <w:tc>
          <w:tcPr>
            <w:tcW w:w="1142" w:type="pct"/>
          </w:tcPr>
          <w:p>
            <w:pPr>
              <w:overflowPunct w:val="0"/>
              <w:topLinePunct/>
              <w:adjustRightInd w:val="0"/>
              <w:spacing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8" w:type="pct"/>
            <w:vMerge w:val="continue"/>
          </w:tcPr>
          <w:p>
            <w:pPr>
              <w:overflowPunct w:val="0"/>
              <w:topLinePunct/>
              <w:adjustRightInd w:val="0"/>
              <w:spacing w:line="400" w:lineRule="exact"/>
              <w:rPr>
                <w:rFonts w:eastAsia="仿宋_GB2312"/>
              </w:rPr>
            </w:pPr>
          </w:p>
        </w:tc>
        <w:tc>
          <w:tcPr>
            <w:tcW w:w="2728" w:type="pct"/>
          </w:tcPr>
          <w:p>
            <w:pPr>
              <w:pStyle w:val="47"/>
              <w:widowControl w:val="0"/>
              <w:overflowPunct w:val="0"/>
              <w:topLinePunct/>
              <w:adjustRightInd w:val="0"/>
              <w:spacing w:line="360" w:lineRule="exact"/>
              <w:rPr>
                <w:rFonts w:eastAsia="仿宋_GB2312"/>
              </w:rPr>
            </w:pPr>
            <w:r>
              <w:rPr>
                <w:rFonts w:eastAsia="仿宋_GB2312"/>
                <w:spacing w:val="8"/>
              </w:rPr>
              <w:t>应有开展绿色工厂的中长期规划及年度目标、指标和实施方</w:t>
            </w:r>
            <w:r>
              <w:rPr>
                <w:rFonts w:eastAsia="仿宋_GB2312"/>
              </w:rPr>
              <w:t>案。可行时，指标应明确且可量化。</w:t>
            </w:r>
          </w:p>
        </w:tc>
        <w:tc>
          <w:tcPr>
            <w:tcW w:w="482" w:type="pct"/>
          </w:tcPr>
          <w:p>
            <w:pPr>
              <w:overflowPunct w:val="0"/>
              <w:topLinePunct/>
              <w:adjustRightInd w:val="0"/>
              <w:spacing w:line="400" w:lineRule="exact"/>
              <w:rPr>
                <w:rFonts w:eastAsia="仿宋_GB2312"/>
              </w:rPr>
            </w:pPr>
          </w:p>
        </w:tc>
        <w:tc>
          <w:tcPr>
            <w:tcW w:w="1142" w:type="pct"/>
          </w:tcPr>
          <w:p>
            <w:pPr>
              <w:overflowPunct w:val="0"/>
              <w:topLinePunct/>
              <w:adjustRightInd w:val="0"/>
              <w:spacing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8" w:type="pct"/>
            <w:vMerge w:val="continue"/>
          </w:tcPr>
          <w:p>
            <w:pPr>
              <w:overflowPunct w:val="0"/>
              <w:topLinePunct/>
              <w:adjustRightInd w:val="0"/>
              <w:spacing w:line="400" w:lineRule="exact"/>
              <w:rPr>
                <w:rFonts w:eastAsia="仿宋_GB2312"/>
              </w:rPr>
            </w:pPr>
          </w:p>
        </w:tc>
        <w:tc>
          <w:tcPr>
            <w:tcW w:w="2728" w:type="pct"/>
          </w:tcPr>
          <w:p>
            <w:pPr>
              <w:pStyle w:val="47"/>
              <w:widowControl w:val="0"/>
              <w:overflowPunct w:val="0"/>
              <w:topLinePunct/>
              <w:adjustRightInd w:val="0"/>
              <w:spacing w:line="360" w:lineRule="exact"/>
              <w:rPr>
                <w:rFonts w:eastAsia="仿宋_GB2312"/>
              </w:rPr>
            </w:pPr>
            <w:r>
              <w:rPr>
                <w:rFonts w:eastAsia="仿宋_GB2312"/>
                <w:spacing w:val="-1"/>
              </w:rPr>
              <w:t>应传播绿色制造的概念和知识，定期为员工提供绿色制造相关</w:t>
            </w:r>
            <w:r>
              <w:rPr>
                <w:rFonts w:eastAsia="仿宋_GB2312"/>
              </w:rPr>
              <w:t>知识的教育、培训，并对教育和培训的结果进行考评。</w:t>
            </w:r>
          </w:p>
        </w:tc>
        <w:tc>
          <w:tcPr>
            <w:tcW w:w="482" w:type="pct"/>
          </w:tcPr>
          <w:p>
            <w:pPr>
              <w:overflowPunct w:val="0"/>
              <w:topLinePunct/>
              <w:adjustRightInd w:val="0"/>
              <w:spacing w:line="400" w:lineRule="exact"/>
              <w:rPr>
                <w:rFonts w:eastAsia="仿宋_GB2312"/>
              </w:rPr>
            </w:pPr>
          </w:p>
        </w:tc>
        <w:tc>
          <w:tcPr>
            <w:tcW w:w="1142" w:type="pct"/>
          </w:tcPr>
          <w:p>
            <w:pPr>
              <w:overflowPunct w:val="0"/>
              <w:topLinePunct/>
              <w:adjustRightInd w:val="0"/>
              <w:spacing w:line="400" w:lineRule="exact"/>
              <w:rPr>
                <w:rFonts w:eastAsia="仿宋_GB2312"/>
              </w:rPr>
            </w:pPr>
          </w:p>
        </w:tc>
      </w:tr>
    </w:tbl>
    <w:p>
      <w:pPr>
        <w:overflowPunct w:val="0"/>
        <w:topLinePunct/>
      </w:pPr>
    </w:p>
    <w:p>
      <w:pPr>
        <w:overflowPunct w:val="0"/>
        <w:topLinePunct/>
        <w:rPr>
          <w:rFonts w:eastAsia="黑体"/>
          <w:sz w:val="32"/>
          <w:szCs w:val="32"/>
        </w:rPr>
      </w:pPr>
      <w:r>
        <w:rPr>
          <w:sz w:val="32"/>
          <w:szCs w:val="32"/>
        </w:rPr>
        <w:br w:type="page"/>
      </w:r>
      <w:r>
        <w:rPr>
          <w:rFonts w:eastAsia="黑体"/>
          <w:sz w:val="32"/>
          <w:szCs w:val="32"/>
        </w:rPr>
        <w:t>附表2</w:t>
      </w:r>
    </w:p>
    <w:p>
      <w:pPr>
        <w:pStyle w:val="3"/>
        <w:overflowPunct w:val="0"/>
        <w:topLinePunct/>
        <w:spacing w:line="460" w:lineRule="exact"/>
        <w:ind w:left="60"/>
        <w:jc w:val="center"/>
        <w:rPr>
          <w:rFonts w:ascii="Times New Roman" w:hAnsi="Times New Roman" w:eastAsia="方正小标宋简体" w:cs="Times New Roman"/>
          <w:b w:val="0"/>
          <w:sz w:val="44"/>
          <w:szCs w:val="44"/>
        </w:rPr>
      </w:pPr>
      <w:r>
        <w:rPr>
          <w:rFonts w:ascii="Times New Roman" w:hAnsi="Times New Roman" w:eastAsia="方正小标宋简体" w:cs="Times New Roman"/>
          <w:b w:val="0"/>
          <w:sz w:val="44"/>
          <w:szCs w:val="44"/>
        </w:rPr>
        <w:t>绿色工厂评价指标评价表</w:t>
      </w:r>
    </w:p>
    <w:p>
      <w:pPr>
        <w:overflowPunct w:val="0"/>
        <w:topLinePunct/>
        <w:jc w:val="center"/>
        <w:rPr>
          <w:rFonts w:eastAsia="仿宋_GB2312"/>
          <w:b/>
          <w:sz w:val="30"/>
          <w:szCs w:val="30"/>
        </w:rPr>
      </w:pPr>
      <w:r>
        <w:rPr>
          <w:rFonts w:eastAsia="仿宋_GB2312"/>
          <w:b/>
          <w:sz w:val="30"/>
          <w:szCs w:val="30"/>
        </w:rPr>
        <w:t>（20  年）</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204"/>
        <w:gridCol w:w="1041"/>
        <w:gridCol w:w="6222"/>
        <w:gridCol w:w="1751"/>
        <w:gridCol w:w="1351"/>
        <w:gridCol w:w="902"/>
        <w:gridCol w:w="754"/>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252" w:type="pct"/>
            <w:vAlign w:val="center"/>
          </w:tcPr>
          <w:p>
            <w:pPr>
              <w:overflowPunct w:val="0"/>
              <w:topLinePunct/>
              <w:spacing w:line="320" w:lineRule="exact"/>
              <w:jc w:val="center"/>
              <w:rPr>
                <w:rFonts w:eastAsia="黑体"/>
                <w:bCs/>
                <w:szCs w:val="21"/>
              </w:rPr>
            </w:pPr>
            <w:r>
              <w:rPr>
                <w:rFonts w:eastAsia="黑体"/>
                <w:bCs/>
                <w:szCs w:val="21"/>
              </w:rPr>
              <w:t>序号</w:t>
            </w:r>
          </w:p>
        </w:tc>
        <w:tc>
          <w:tcPr>
            <w:tcW w:w="407" w:type="pct"/>
            <w:vAlign w:val="center"/>
          </w:tcPr>
          <w:p>
            <w:pPr>
              <w:overflowPunct w:val="0"/>
              <w:topLinePunct/>
              <w:spacing w:line="320" w:lineRule="exact"/>
              <w:jc w:val="center"/>
              <w:rPr>
                <w:rFonts w:eastAsia="黑体"/>
                <w:bCs/>
                <w:szCs w:val="21"/>
              </w:rPr>
            </w:pPr>
            <w:r>
              <w:rPr>
                <w:rFonts w:eastAsia="黑体"/>
                <w:bCs/>
                <w:szCs w:val="21"/>
              </w:rPr>
              <w:t>一级指标</w:t>
            </w:r>
          </w:p>
        </w:tc>
        <w:tc>
          <w:tcPr>
            <w:tcW w:w="352" w:type="pct"/>
            <w:vAlign w:val="center"/>
          </w:tcPr>
          <w:p>
            <w:pPr>
              <w:overflowPunct w:val="0"/>
              <w:topLinePunct/>
              <w:spacing w:line="320" w:lineRule="exact"/>
              <w:jc w:val="center"/>
              <w:rPr>
                <w:rFonts w:eastAsia="黑体"/>
                <w:bCs/>
                <w:szCs w:val="21"/>
              </w:rPr>
            </w:pPr>
            <w:r>
              <w:rPr>
                <w:rFonts w:eastAsia="黑体"/>
                <w:bCs/>
                <w:szCs w:val="21"/>
              </w:rPr>
              <w:t>二级</w:t>
            </w:r>
          </w:p>
          <w:p>
            <w:pPr>
              <w:overflowPunct w:val="0"/>
              <w:topLinePunct/>
              <w:spacing w:line="320" w:lineRule="exact"/>
              <w:jc w:val="center"/>
              <w:rPr>
                <w:rFonts w:eastAsia="黑体"/>
                <w:bCs/>
                <w:szCs w:val="21"/>
              </w:rPr>
            </w:pPr>
            <w:r>
              <w:rPr>
                <w:rFonts w:eastAsia="黑体"/>
                <w:bCs/>
                <w:szCs w:val="21"/>
              </w:rPr>
              <w:t>指标</w:t>
            </w:r>
          </w:p>
        </w:tc>
        <w:tc>
          <w:tcPr>
            <w:tcW w:w="2104" w:type="pct"/>
            <w:vAlign w:val="center"/>
          </w:tcPr>
          <w:p>
            <w:pPr>
              <w:overflowPunct w:val="0"/>
              <w:topLinePunct/>
              <w:spacing w:line="320" w:lineRule="exact"/>
              <w:jc w:val="center"/>
              <w:rPr>
                <w:rFonts w:eastAsia="黑体"/>
                <w:bCs/>
                <w:szCs w:val="21"/>
              </w:rPr>
            </w:pPr>
            <w:r>
              <w:rPr>
                <w:rFonts w:eastAsia="黑体"/>
                <w:bCs/>
                <w:szCs w:val="21"/>
              </w:rPr>
              <w:t>具体评价要求</w:t>
            </w:r>
          </w:p>
        </w:tc>
        <w:tc>
          <w:tcPr>
            <w:tcW w:w="592" w:type="pct"/>
            <w:vAlign w:val="center"/>
          </w:tcPr>
          <w:p>
            <w:pPr>
              <w:overflowPunct w:val="0"/>
              <w:topLinePunct/>
              <w:spacing w:line="320" w:lineRule="exact"/>
              <w:jc w:val="center"/>
              <w:rPr>
                <w:rFonts w:eastAsia="黑体"/>
                <w:bCs/>
                <w:szCs w:val="21"/>
              </w:rPr>
            </w:pPr>
            <w:r>
              <w:rPr>
                <w:rFonts w:eastAsia="黑体"/>
                <w:bCs/>
                <w:szCs w:val="21"/>
              </w:rPr>
              <w:t>符合性说明及证明材料索引</w:t>
            </w:r>
          </w:p>
        </w:tc>
        <w:tc>
          <w:tcPr>
            <w:tcW w:w="457" w:type="pct"/>
            <w:vAlign w:val="center"/>
          </w:tcPr>
          <w:p>
            <w:pPr>
              <w:overflowPunct w:val="0"/>
              <w:topLinePunct/>
              <w:spacing w:line="320" w:lineRule="exact"/>
              <w:jc w:val="center"/>
              <w:rPr>
                <w:rFonts w:eastAsia="黑体"/>
                <w:bCs/>
                <w:szCs w:val="21"/>
              </w:rPr>
            </w:pPr>
            <w:r>
              <w:rPr>
                <w:rFonts w:eastAsia="黑体"/>
                <w:bCs/>
                <w:szCs w:val="21"/>
              </w:rPr>
              <w:t>要求类型</w:t>
            </w:r>
          </w:p>
        </w:tc>
        <w:tc>
          <w:tcPr>
            <w:tcW w:w="305" w:type="pct"/>
            <w:vAlign w:val="center"/>
          </w:tcPr>
          <w:p>
            <w:pPr>
              <w:overflowPunct w:val="0"/>
              <w:topLinePunct/>
              <w:spacing w:line="320" w:lineRule="exact"/>
              <w:jc w:val="center"/>
              <w:rPr>
                <w:rFonts w:eastAsia="黑体"/>
                <w:bCs/>
                <w:szCs w:val="21"/>
              </w:rPr>
            </w:pPr>
            <w:r>
              <w:rPr>
                <w:rFonts w:eastAsia="黑体"/>
                <w:bCs/>
                <w:szCs w:val="21"/>
              </w:rPr>
              <w:t>分值</w:t>
            </w:r>
          </w:p>
        </w:tc>
        <w:tc>
          <w:tcPr>
            <w:tcW w:w="255" w:type="pct"/>
            <w:vAlign w:val="center"/>
          </w:tcPr>
          <w:p>
            <w:pPr>
              <w:overflowPunct w:val="0"/>
              <w:topLinePunct/>
              <w:spacing w:line="320" w:lineRule="exact"/>
              <w:jc w:val="center"/>
              <w:rPr>
                <w:rFonts w:eastAsia="黑体"/>
                <w:bCs/>
                <w:szCs w:val="21"/>
              </w:rPr>
            </w:pPr>
            <w:r>
              <w:rPr>
                <w:rFonts w:eastAsia="黑体"/>
                <w:bCs/>
                <w:szCs w:val="21"/>
              </w:rPr>
              <w:t>权重</w:t>
            </w:r>
          </w:p>
        </w:tc>
        <w:tc>
          <w:tcPr>
            <w:tcW w:w="276" w:type="pct"/>
            <w:vAlign w:val="center"/>
          </w:tcPr>
          <w:p>
            <w:pPr>
              <w:overflowPunct w:val="0"/>
              <w:topLinePunct/>
              <w:spacing w:line="320" w:lineRule="exact"/>
              <w:jc w:val="center"/>
              <w:rPr>
                <w:rFonts w:eastAsia="黑体"/>
                <w:bCs/>
                <w:szCs w:val="21"/>
              </w:rPr>
            </w:pPr>
            <w:r>
              <w:rPr>
                <w:rFonts w:eastAsia="黑体"/>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1</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基础设施</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建筑</w:t>
            </w:r>
          </w:p>
        </w:tc>
        <w:tc>
          <w:tcPr>
            <w:tcW w:w="2104" w:type="pct"/>
            <w:vAlign w:val="center"/>
          </w:tcPr>
          <w:p>
            <w:pPr>
              <w:pStyle w:val="47"/>
              <w:overflowPunct w:val="0"/>
              <w:topLinePunct/>
              <w:spacing w:line="280" w:lineRule="exact"/>
              <w:ind w:right="100"/>
              <w:rPr>
                <w:rFonts w:eastAsia="仿宋_GB2312"/>
                <w:sz w:val="21"/>
                <w:szCs w:val="21"/>
              </w:rPr>
            </w:pPr>
            <w:r>
              <w:rPr>
                <w:rFonts w:eastAsia="仿宋_GB2312"/>
                <w:spacing w:val="9"/>
                <w:sz w:val="21"/>
                <w:szCs w:val="21"/>
              </w:rPr>
              <w:t>工厂的建筑应满足国家或地方相关法律法规</w:t>
            </w:r>
            <w:r>
              <w:rPr>
                <w:rFonts w:eastAsia="仿宋_GB2312"/>
                <w:sz w:val="21"/>
                <w:szCs w:val="21"/>
              </w:rPr>
              <w:t>及标准的要求。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pStyle w:val="47"/>
              <w:overflowPunct w:val="0"/>
              <w:topLinePunct/>
              <w:spacing w:before="166" w:line="320" w:lineRule="exact"/>
              <w:jc w:val="center"/>
              <w:rPr>
                <w:rFonts w:eastAsia="仿宋_GB2312"/>
                <w:sz w:val="21"/>
                <w:szCs w:val="21"/>
              </w:rPr>
            </w:pPr>
            <w:r>
              <w:rPr>
                <w:rFonts w:eastAsia="仿宋_GB2312"/>
                <w:sz w:val="21"/>
                <w:szCs w:val="21"/>
              </w:rPr>
              <w:t>8</w:t>
            </w:r>
          </w:p>
        </w:tc>
        <w:tc>
          <w:tcPr>
            <w:tcW w:w="255" w:type="pct"/>
            <w:vMerge w:val="restart"/>
            <w:vAlign w:val="center"/>
          </w:tcPr>
          <w:p>
            <w:pPr>
              <w:overflowPunct w:val="0"/>
              <w:topLinePunct/>
              <w:spacing w:line="320" w:lineRule="exact"/>
              <w:jc w:val="center"/>
              <w:rPr>
                <w:rFonts w:eastAsia="仿宋_GB2312"/>
                <w:szCs w:val="21"/>
              </w:rPr>
            </w:pPr>
            <w:r>
              <w:rPr>
                <w:rFonts w:eastAsia="仿宋_GB2312"/>
                <w:szCs w:val="21"/>
              </w:rPr>
              <w:t>20%</w:t>
            </w: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280" w:lineRule="exact"/>
              <w:rPr>
                <w:rFonts w:eastAsia="仿宋_GB2312"/>
                <w:sz w:val="21"/>
                <w:szCs w:val="21"/>
              </w:rPr>
            </w:pPr>
            <w:r>
              <w:rPr>
                <w:rFonts w:eastAsia="仿宋_GB2312"/>
                <w:spacing w:val="-3"/>
                <w:sz w:val="21"/>
                <w:szCs w:val="21"/>
              </w:rPr>
              <w:t>新建、改建和扩建建筑时，应遵守国家“固定</w:t>
            </w:r>
            <w:r>
              <w:rPr>
                <w:rFonts w:eastAsia="仿宋_GB2312"/>
                <w:sz w:val="21"/>
                <w:szCs w:val="21"/>
              </w:rPr>
              <w:t>资产投资项目节能评估审查制度</w:t>
            </w:r>
            <w:r>
              <w:rPr>
                <w:rFonts w:eastAsia="仿宋_GB2312"/>
                <w:spacing w:val="-17"/>
                <w:sz w:val="21"/>
                <w:szCs w:val="21"/>
              </w:rPr>
              <w:t>”</w:t>
            </w:r>
            <w:r>
              <w:rPr>
                <w:rFonts w:eastAsia="仿宋_GB2312"/>
                <w:spacing w:val="-39"/>
                <w:sz w:val="21"/>
                <w:szCs w:val="21"/>
              </w:rPr>
              <w:t>、</w:t>
            </w:r>
            <w:r>
              <w:rPr>
                <w:rFonts w:eastAsia="仿宋_GB2312"/>
                <w:sz w:val="21"/>
                <w:szCs w:val="21"/>
              </w:rPr>
              <w:t>“三同时制度</w:t>
            </w:r>
            <w:r>
              <w:rPr>
                <w:rFonts w:eastAsia="仿宋_GB2312"/>
                <w:spacing w:val="-15"/>
                <w:sz w:val="21"/>
                <w:szCs w:val="21"/>
              </w:rPr>
              <w:t>”</w:t>
            </w:r>
            <w:r>
              <w:rPr>
                <w:rFonts w:eastAsia="仿宋_GB2312"/>
                <w:spacing w:val="-27"/>
                <w:sz w:val="21"/>
                <w:szCs w:val="21"/>
              </w:rPr>
              <w:t>、</w:t>
            </w:r>
            <w:r>
              <w:rPr>
                <w:rFonts w:eastAsia="仿宋_GB2312"/>
                <w:sz w:val="21"/>
                <w:szCs w:val="21"/>
              </w:rPr>
              <w:t>“工业项目建设用地控制指标</w:t>
            </w:r>
            <w:r>
              <w:rPr>
                <w:rFonts w:eastAsia="仿宋_GB2312"/>
                <w:spacing w:val="-15"/>
                <w:sz w:val="21"/>
                <w:szCs w:val="21"/>
              </w:rPr>
              <w:t>”</w:t>
            </w:r>
            <w:r>
              <w:rPr>
                <w:rFonts w:eastAsia="仿宋_GB2312"/>
                <w:sz w:val="21"/>
                <w:szCs w:val="21"/>
              </w:rPr>
              <w:t>等产业政策和有关要求。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12" w:line="320" w:lineRule="exact"/>
              <w:jc w:val="center"/>
              <w:rPr>
                <w:rFonts w:eastAsia="仿宋_GB2312"/>
                <w:b/>
                <w:sz w:val="21"/>
                <w:szCs w:val="21"/>
              </w:rPr>
            </w:pPr>
          </w:p>
          <w:p>
            <w:pPr>
              <w:pStyle w:val="47"/>
              <w:overflowPunct w:val="0"/>
              <w:topLinePunct/>
              <w:spacing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280" w:lineRule="exact"/>
              <w:rPr>
                <w:rFonts w:eastAsia="仿宋_GB2312"/>
                <w:sz w:val="21"/>
                <w:szCs w:val="21"/>
              </w:rPr>
            </w:pPr>
            <w:r>
              <w:rPr>
                <w:rFonts w:eastAsia="仿宋_GB2312"/>
                <w:spacing w:val="-3"/>
                <w:sz w:val="21"/>
                <w:szCs w:val="21"/>
              </w:rPr>
              <w:t>厂房内部装饰装修材料中醛、苯、氨、氡等有</w:t>
            </w:r>
            <w:r>
              <w:rPr>
                <w:rFonts w:eastAsia="仿宋_GB2312"/>
                <w:sz w:val="21"/>
                <w:szCs w:val="21"/>
              </w:rPr>
              <w:t>害物质应符合国家和地方法律、标准要求。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118" w:line="320" w:lineRule="exact"/>
              <w:jc w:val="center"/>
              <w:rPr>
                <w:rFonts w:eastAsia="仿宋_GB2312"/>
                <w:color w:val="000000"/>
                <w:sz w:val="21"/>
                <w:szCs w:val="21"/>
              </w:rPr>
            </w:pPr>
            <w:r>
              <w:rPr>
                <w:rFonts w:eastAsia="仿宋_GB2312"/>
                <w:sz w:val="21"/>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280" w:lineRule="exact"/>
              <w:rPr>
                <w:rFonts w:eastAsia="仿宋_GB2312"/>
                <w:sz w:val="21"/>
                <w:szCs w:val="21"/>
              </w:rPr>
            </w:pPr>
            <w:r>
              <w:rPr>
                <w:rFonts w:eastAsia="仿宋_GB2312"/>
                <w:sz w:val="21"/>
                <w:szCs w:val="21"/>
              </w:rPr>
              <w:t>危险品仓库</w:t>
            </w:r>
            <w:r>
              <w:rPr>
                <w:rFonts w:eastAsia="仿宋_GB2312"/>
                <w:spacing w:val="-29"/>
                <w:sz w:val="21"/>
                <w:szCs w:val="21"/>
              </w:rPr>
              <w:t>、</w:t>
            </w:r>
            <w:r>
              <w:rPr>
                <w:rFonts w:eastAsia="仿宋_GB2312"/>
                <w:sz w:val="21"/>
                <w:szCs w:val="21"/>
              </w:rPr>
              <w:t>有毒有害操作间</w:t>
            </w:r>
            <w:r>
              <w:rPr>
                <w:rFonts w:eastAsia="仿宋_GB2312"/>
                <w:spacing w:val="-27"/>
                <w:sz w:val="21"/>
                <w:szCs w:val="21"/>
              </w:rPr>
              <w:t>、</w:t>
            </w:r>
            <w:r>
              <w:rPr>
                <w:rFonts w:eastAsia="仿宋_GB2312"/>
                <w:sz w:val="21"/>
                <w:szCs w:val="21"/>
              </w:rPr>
              <w:t>废弃物处理间等产生污染物的房间应独立设置。</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120" w:line="320" w:lineRule="exact"/>
              <w:jc w:val="center"/>
              <w:rPr>
                <w:rFonts w:eastAsia="仿宋_GB2312"/>
                <w:sz w:val="21"/>
                <w:szCs w:val="21"/>
              </w:rPr>
            </w:pPr>
            <w:r>
              <w:rPr>
                <w:rFonts w:eastAsia="仿宋_GB2312"/>
                <w:sz w:val="21"/>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280" w:lineRule="exact"/>
              <w:rPr>
                <w:rFonts w:eastAsia="仿宋_GB2312"/>
                <w:szCs w:val="21"/>
              </w:rPr>
            </w:pPr>
            <w:r>
              <w:rPr>
                <w:rFonts w:eastAsia="仿宋_GB2312"/>
                <w:szCs w:val="21"/>
              </w:rPr>
              <w:t>建筑材料：（1）选用蕴能低、高性能、高耐久性和本地建材，减少建材在全生命周期中的能源消耗；（2）室内装饰装修材料满足国家标准GB 18580～18588和《建筑材料放射性核素限量》GB 6566的要求。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280" w:lineRule="exact"/>
              <w:rPr>
                <w:rFonts w:eastAsia="仿宋_GB2312"/>
                <w:szCs w:val="21"/>
              </w:rPr>
            </w:pPr>
            <w:r>
              <w:rPr>
                <w:rFonts w:eastAsia="仿宋_GB2312"/>
                <w:szCs w:val="21"/>
              </w:rPr>
              <w:t>建筑结构：采用钢结构、砌体结构和木结构等资源消耗和环境影响小的建筑结构体系。</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280" w:lineRule="exact"/>
              <w:rPr>
                <w:rFonts w:eastAsia="仿宋_GB2312"/>
                <w:szCs w:val="21"/>
              </w:rPr>
            </w:pPr>
            <w:r>
              <w:rPr>
                <w:rFonts w:eastAsia="仿宋_GB2312"/>
                <w:szCs w:val="21"/>
              </w:rPr>
              <w:t>绿化及场地：（1）场地内设置可遮荫避雨的步行连廊。(2) 优先种植乡土植物，采用少维护、耐候性强的植物，减少日常维护的费用。绿化面积占总占地面积不低于20%。（3）室外透水地面面积占室外总面积的比例不小于30%。</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280" w:lineRule="exact"/>
              <w:rPr>
                <w:rFonts w:eastAsia="仿宋_GB2312"/>
                <w:szCs w:val="21"/>
              </w:rPr>
            </w:pPr>
            <w:r>
              <w:rPr>
                <w:rFonts w:eastAsia="仿宋_GB2312"/>
                <w:szCs w:val="21"/>
              </w:rPr>
              <w:t>再生资源及能源利用：（1）可再生能源的使用占建筑总能耗的比例大于10%；（2）采用节水器具和设备，节水率不低于10%。</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320" w:lineRule="exact"/>
              <w:rPr>
                <w:rFonts w:eastAsia="仿宋_GB2312"/>
                <w:szCs w:val="21"/>
              </w:rPr>
            </w:pPr>
            <w:r>
              <w:rPr>
                <w:rFonts w:eastAsia="仿宋_GB2312"/>
                <w:szCs w:val="21"/>
              </w:rPr>
              <w:t>适用时，工厂的厂房采用多层建筑。</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1</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基础设施</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照明</w:t>
            </w:r>
          </w:p>
        </w:tc>
        <w:tc>
          <w:tcPr>
            <w:tcW w:w="2104" w:type="pct"/>
            <w:vAlign w:val="center"/>
          </w:tcPr>
          <w:p>
            <w:pPr>
              <w:pStyle w:val="47"/>
              <w:overflowPunct w:val="0"/>
              <w:topLinePunct/>
              <w:spacing w:before="48" w:line="320" w:lineRule="exact"/>
              <w:rPr>
                <w:rFonts w:eastAsia="仿宋_GB2312"/>
                <w:sz w:val="21"/>
                <w:szCs w:val="21"/>
              </w:rPr>
            </w:pPr>
            <w:r>
              <w:rPr>
                <w:rFonts w:eastAsia="仿宋_GB2312"/>
                <w:sz w:val="21"/>
                <w:szCs w:val="21"/>
              </w:rPr>
              <w:t>人工照明应符合</w:t>
            </w:r>
            <w:r>
              <w:rPr>
                <w:rFonts w:eastAsia="仿宋_GB2312"/>
                <w:spacing w:val="-60"/>
                <w:sz w:val="21"/>
                <w:szCs w:val="21"/>
              </w:rPr>
              <w:t xml:space="preserve"> </w:t>
            </w:r>
            <w:r>
              <w:rPr>
                <w:rFonts w:eastAsia="仿宋_GB2312"/>
                <w:sz w:val="21"/>
                <w:szCs w:val="21"/>
              </w:rPr>
              <w:t>GB 50034</w:t>
            </w:r>
            <w:r>
              <w:rPr>
                <w:rFonts w:eastAsia="仿宋_GB2312"/>
                <w:spacing w:val="-60"/>
                <w:sz w:val="21"/>
                <w:szCs w:val="21"/>
              </w:rPr>
              <w:t xml:space="preserve"> </w:t>
            </w:r>
            <w:r>
              <w:rPr>
                <w:rFonts w:eastAsia="仿宋_GB2312"/>
                <w:sz w:val="21"/>
                <w:szCs w:val="21"/>
              </w:rPr>
              <w:t>规定。</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pStyle w:val="47"/>
              <w:overflowPunct w:val="0"/>
              <w:topLinePunct/>
              <w:spacing w:before="48" w:line="320" w:lineRule="exact"/>
              <w:jc w:val="center"/>
              <w:rPr>
                <w:rFonts w:eastAsia="仿宋_GB2312"/>
                <w:sz w:val="21"/>
                <w:szCs w:val="21"/>
              </w:rPr>
            </w:pPr>
            <w:r>
              <w:rPr>
                <w:rFonts w:eastAsia="仿宋_GB2312"/>
                <w:sz w:val="21"/>
                <w:szCs w:val="21"/>
              </w:rPr>
              <w:t>7</w:t>
            </w:r>
          </w:p>
        </w:tc>
        <w:tc>
          <w:tcPr>
            <w:tcW w:w="255" w:type="pct"/>
            <w:vMerge w:val="restart"/>
            <w:vAlign w:val="center"/>
          </w:tcPr>
          <w:p>
            <w:pPr>
              <w:overflowPunct w:val="0"/>
              <w:topLinePunct/>
              <w:spacing w:line="320" w:lineRule="exact"/>
              <w:jc w:val="center"/>
              <w:rPr>
                <w:rFonts w:eastAsia="仿宋_GB2312"/>
                <w:szCs w:val="21"/>
              </w:rPr>
            </w:pPr>
            <w:r>
              <w:rPr>
                <w:rFonts w:eastAsia="仿宋_GB2312"/>
                <w:szCs w:val="21"/>
              </w:rPr>
              <w:t>20%</w:t>
            </w: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before="47" w:line="320" w:lineRule="exact"/>
              <w:rPr>
                <w:rFonts w:eastAsia="仿宋_GB2312"/>
                <w:sz w:val="21"/>
                <w:szCs w:val="21"/>
              </w:rPr>
            </w:pPr>
            <w:r>
              <w:rPr>
                <w:rFonts w:eastAsia="仿宋_GB2312"/>
                <w:sz w:val="21"/>
                <w:szCs w:val="21"/>
              </w:rPr>
              <w:t>不同场所的照明应进行分级设计。</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47" w:line="320" w:lineRule="exact"/>
              <w:jc w:val="center"/>
              <w:rPr>
                <w:rFonts w:eastAsia="仿宋_GB2312"/>
                <w:sz w:val="21"/>
                <w:szCs w:val="21"/>
              </w:rPr>
            </w:pPr>
            <w:r>
              <w:rPr>
                <w:rFonts w:eastAsia="仿宋_GB2312"/>
                <w:sz w:val="21"/>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工厂厂区及各房间或场所的照明尽量利用自</w:t>
            </w:r>
            <w:r>
              <w:rPr>
                <w:rFonts w:eastAsia="仿宋_GB2312"/>
                <w:sz w:val="21"/>
                <w:szCs w:val="21"/>
              </w:rPr>
              <w:t>然光。</w:t>
            </w:r>
          </w:p>
        </w:tc>
        <w:tc>
          <w:tcPr>
            <w:tcW w:w="592" w:type="pct"/>
            <w:vAlign w:val="center"/>
          </w:tcPr>
          <w:p>
            <w:pPr>
              <w:overflowPunct w:val="0"/>
              <w:topLinePunct/>
              <w:spacing w:line="320" w:lineRule="exact"/>
              <w:rPr>
                <w:rFonts w:eastAsia="仿宋_GB2312"/>
                <w:szCs w:val="21"/>
              </w:rPr>
            </w:pP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工艺适用时</w:t>
            </w:r>
            <w:r>
              <w:rPr>
                <w:rFonts w:eastAsia="仿宋_GB2312"/>
                <w:spacing w:val="-56"/>
                <w:sz w:val="21"/>
                <w:szCs w:val="21"/>
              </w:rPr>
              <w:t>，</w:t>
            </w:r>
            <w:r>
              <w:rPr>
                <w:rFonts w:eastAsia="仿宋_GB2312"/>
                <w:sz w:val="21"/>
                <w:szCs w:val="21"/>
              </w:rPr>
              <w:t>节能灯等节能型照明设备的使用占比不低于</w:t>
            </w:r>
            <w:r>
              <w:rPr>
                <w:rFonts w:eastAsia="仿宋_GB2312"/>
                <w:spacing w:val="-60"/>
                <w:sz w:val="21"/>
                <w:szCs w:val="21"/>
              </w:rPr>
              <w:t xml:space="preserve"> </w:t>
            </w:r>
            <w:r>
              <w:rPr>
                <w:rFonts w:eastAsia="仿宋_GB2312"/>
                <w:sz w:val="21"/>
                <w:szCs w:val="21"/>
              </w:rPr>
              <w:t>50%。</w:t>
            </w:r>
          </w:p>
        </w:tc>
        <w:tc>
          <w:tcPr>
            <w:tcW w:w="592" w:type="pct"/>
            <w:vAlign w:val="center"/>
          </w:tcPr>
          <w:p>
            <w:pPr>
              <w:overflowPunct w:val="0"/>
              <w:topLinePunct/>
              <w:spacing w:line="320" w:lineRule="exact"/>
              <w:rPr>
                <w:rFonts w:eastAsia="仿宋_GB2312"/>
                <w:szCs w:val="21"/>
              </w:rPr>
            </w:pP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公共场所的照明采取分区</w:t>
            </w:r>
            <w:r>
              <w:rPr>
                <w:rFonts w:eastAsia="仿宋_GB2312"/>
                <w:spacing w:val="-56"/>
                <w:sz w:val="21"/>
                <w:szCs w:val="21"/>
              </w:rPr>
              <w:t>、</w:t>
            </w:r>
            <w:r>
              <w:rPr>
                <w:rFonts w:eastAsia="仿宋_GB2312"/>
                <w:sz w:val="21"/>
                <w:szCs w:val="21"/>
              </w:rPr>
              <w:t>分组与定时自动调光等措施。</w:t>
            </w:r>
          </w:p>
        </w:tc>
        <w:tc>
          <w:tcPr>
            <w:tcW w:w="592" w:type="pct"/>
            <w:vAlign w:val="center"/>
          </w:tcPr>
          <w:p>
            <w:pPr>
              <w:overflowPunct w:val="0"/>
              <w:topLinePunct/>
              <w:spacing w:line="320" w:lineRule="exact"/>
              <w:rPr>
                <w:rFonts w:eastAsia="仿宋_GB2312"/>
                <w:szCs w:val="21"/>
              </w:rPr>
            </w:pP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设备</w:t>
            </w:r>
          </w:p>
          <w:p>
            <w:pPr>
              <w:overflowPunct w:val="0"/>
              <w:topLinePunct/>
              <w:spacing w:line="320" w:lineRule="exact"/>
              <w:jc w:val="center"/>
              <w:rPr>
                <w:rFonts w:eastAsia="仿宋_GB2312"/>
                <w:szCs w:val="21"/>
              </w:rPr>
            </w:pPr>
            <w:r>
              <w:rPr>
                <w:rFonts w:eastAsia="仿宋_GB2312"/>
                <w:szCs w:val="21"/>
              </w:rPr>
              <w:t>实施</w:t>
            </w: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工厂使用的专用设备应符合产业准入要求</w:t>
            </w:r>
            <w:r>
              <w:rPr>
                <w:rFonts w:eastAsia="仿宋_GB2312"/>
                <w:spacing w:val="-56"/>
                <w:sz w:val="21"/>
                <w:szCs w:val="21"/>
              </w:rPr>
              <w:t>，</w:t>
            </w:r>
            <w:r>
              <w:rPr>
                <w:rFonts w:eastAsia="仿宋_GB2312"/>
                <w:sz w:val="21"/>
                <w:szCs w:val="21"/>
              </w:rPr>
              <w:t>降低能源与资源消耗，减少染物排放。</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适用时</w:t>
            </w:r>
            <w:r>
              <w:rPr>
                <w:rFonts w:eastAsia="仿宋_GB2312"/>
                <w:spacing w:val="-56"/>
                <w:sz w:val="21"/>
                <w:szCs w:val="21"/>
              </w:rPr>
              <w:t>，</w:t>
            </w:r>
            <w:r>
              <w:rPr>
                <w:rFonts w:eastAsia="仿宋_GB2312"/>
                <w:sz w:val="21"/>
                <w:szCs w:val="21"/>
              </w:rPr>
              <w:t>工厂使用的通用设备应达到相关标准</w:t>
            </w:r>
            <w:r>
              <w:rPr>
                <w:rFonts w:eastAsia="仿宋_GB2312"/>
                <w:spacing w:val="9"/>
                <w:sz w:val="21"/>
                <w:szCs w:val="21"/>
              </w:rPr>
              <w:t>中能效限定值的强制性要求。已明令禁止生</w:t>
            </w:r>
            <w:r>
              <w:rPr>
                <w:rFonts w:eastAsia="仿宋_GB2312"/>
                <w:sz w:val="21"/>
                <w:szCs w:val="21"/>
              </w:rPr>
              <w:t>产</w:t>
            </w:r>
            <w:r>
              <w:rPr>
                <w:rFonts w:eastAsia="仿宋_GB2312"/>
                <w:spacing w:val="-29"/>
                <w:sz w:val="21"/>
                <w:szCs w:val="21"/>
              </w:rPr>
              <w:t>、</w:t>
            </w:r>
            <w:r>
              <w:rPr>
                <w:rFonts w:eastAsia="仿宋_GB2312"/>
                <w:sz w:val="21"/>
                <w:szCs w:val="21"/>
              </w:rPr>
              <w:t>使用的和能耗高</w:t>
            </w:r>
            <w:r>
              <w:rPr>
                <w:rFonts w:eastAsia="仿宋_GB2312"/>
                <w:spacing w:val="-27"/>
                <w:sz w:val="21"/>
                <w:szCs w:val="21"/>
              </w:rPr>
              <w:t>、</w:t>
            </w:r>
            <w:r>
              <w:rPr>
                <w:rFonts w:eastAsia="仿宋_GB2312"/>
                <w:sz w:val="21"/>
                <w:szCs w:val="21"/>
              </w:rPr>
              <w:t>效率低的设应限期淘汰更新。</w:t>
            </w:r>
          </w:p>
        </w:tc>
        <w:tc>
          <w:tcPr>
            <w:tcW w:w="592" w:type="pct"/>
            <w:vAlign w:val="center"/>
          </w:tcPr>
          <w:p>
            <w:pPr>
              <w:overflowPunct w:val="0"/>
              <w:topLinePunct/>
              <w:spacing w:line="320" w:lineRule="exact"/>
              <w:rPr>
                <w:rFonts w:eastAsia="仿宋_GB2312"/>
                <w:szCs w:val="21"/>
              </w:rPr>
            </w:pP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工厂使用的通用设备或其系统的实际运行效率或主要运行参数应符合该设备经济运行的</w:t>
            </w:r>
            <w:r>
              <w:rPr>
                <w:rFonts w:eastAsia="仿宋_GB2312"/>
                <w:sz w:val="21"/>
                <w:szCs w:val="21"/>
              </w:rPr>
              <w:t>要求。</w:t>
            </w:r>
          </w:p>
        </w:tc>
        <w:tc>
          <w:tcPr>
            <w:tcW w:w="592" w:type="pct"/>
            <w:vAlign w:val="center"/>
          </w:tcPr>
          <w:p>
            <w:pPr>
              <w:overflowPunct w:val="0"/>
              <w:topLinePunct/>
              <w:spacing w:line="320" w:lineRule="exact"/>
              <w:rPr>
                <w:rFonts w:eastAsia="仿宋_GB2312"/>
                <w:szCs w:val="21"/>
              </w:rPr>
            </w:pP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工厂应依据GB</w:t>
            </w:r>
            <w:r>
              <w:rPr>
                <w:rFonts w:eastAsia="仿宋_GB2312"/>
                <w:spacing w:val="4"/>
                <w:sz w:val="21"/>
                <w:szCs w:val="21"/>
              </w:rPr>
              <w:t xml:space="preserve"> </w:t>
            </w:r>
            <w:r>
              <w:rPr>
                <w:rFonts w:eastAsia="仿宋_GB2312"/>
                <w:spacing w:val="1"/>
                <w:sz w:val="21"/>
                <w:szCs w:val="21"/>
              </w:rPr>
              <w:t>17167、GB24789等要求配备、</w:t>
            </w:r>
            <w:r>
              <w:rPr>
                <w:rFonts w:eastAsia="仿宋_GB2312"/>
                <w:sz w:val="21"/>
                <w:szCs w:val="21"/>
              </w:rPr>
              <w:t>使用和管理能源</w:t>
            </w:r>
            <w:r>
              <w:rPr>
                <w:rFonts w:eastAsia="仿宋_GB2312"/>
                <w:spacing w:val="-56"/>
                <w:sz w:val="21"/>
                <w:szCs w:val="21"/>
              </w:rPr>
              <w:t>、</w:t>
            </w:r>
            <w:r>
              <w:rPr>
                <w:rFonts w:eastAsia="仿宋_GB2312"/>
                <w:sz w:val="21"/>
                <w:szCs w:val="21"/>
              </w:rPr>
              <w:t>水以及其他资源的计量器具和装置。</w:t>
            </w:r>
          </w:p>
        </w:tc>
        <w:tc>
          <w:tcPr>
            <w:tcW w:w="592" w:type="pct"/>
            <w:vAlign w:val="center"/>
          </w:tcPr>
          <w:p>
            <w:pPr>
              <w:overflowPunct w:val="0"/>
              <w:topLinePunct/>
              <w:spacing w:line="320" w:lineRule="exact"/>
              <w:rPr>
                <w:rFonts w:eastAsia="仿宋_GB2312"/>
                <w:szCs w:val="21"/>
              </w:rPr>
            </w:pP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能源及资源使用的类型不同时</w:t>
            </w:r>
            <w:r>
              <w:rPr>
                <w:rFonts w:eastAsia="仿宋_GB2312"/>
                <w:spacing w:val="-56"/>
                <w:sz w:val="21"/>
                <w:szCs w:val="21"/>
              </w:rPr>
              <w:t>，</w:t>
            </w:r>
            <w:r>
              <w:rPr>
                <w:rFonts w:eastAsia="仿宋_GB2312"/>
                <w:sz w:val="21"/>
                <w:szCs w:val="21"/>
              </w:rPr>
              <w:t>应进行分类计量</w:t>
            </w:r>
            <w:r>
              <w:rPr>
                <w:rFonts w:eastAsia="仿宋_GB2312"/>
                <w:spacing w:val="-29"/>
                <w:sz w:val="21"/>
                <w:szCs w:val="21"/>
              </w:rPr>
              <w:t>。</w:t>
            </w:r>
            <w:r>
              <w:rPr>
                <w:rFonts w:eastAsia="仿宋_GB2312"/>
                <w:sz w:val="21"/>
                <w:szCs w:val="21"/>
              </w:rPr>
              <w:t>工厂若具有以下设备</w:t>
            </w:r>
            <w:r>
              <w:rPr>
                <w:rFonts w:eastAsia="仿宋_GB2312"/>
                <w:spacing w:val="-27"/>
                <w:sz w:val="21"/>
                <w:szCs w:val="21"/>
              </w:rPr>
              <w:t>，</w:t>
            </w:r>
            <w:r>
              <w:rPr>
                <w:rFonts w:eastAsia="仿宋_GB2312"/>
                <w:sz w:val="21"/>
                <w:szCs w:val="21"/>
              </w:rPr>
              <w:t>需满足分类计量的</w:t>
            </w:r>
            <w:r>
              <w:rPr>
                <w:rFonts w:eastAsia="仿宋_GB2312"/>
                <w:spacing w:val="-3"/>
                <w:sz w:val="21"/>
                <w:szCs w:val="21"/>
              </w:rPr>
              <w:t>要求：（1）照明系统；（2）冷水机组、相关</w:t>
            </w:r>
            <w:r>
              <w:rPr>
                <w:rFonts w:eastAsia="仿宋_GB2312"/>
                <w:sz w:val="21"/>
                <w:szCs w:val="21"/>
              </w:rPr>
              <w:t>用能设备的能耗计量和控制</w:t>
            </w:r>
            <w:r>
              <w:rPr>
                <w:rFonts w:eastAsia="仿宋_GB2312"/>
                <w:spacing w:val="-36"/>
                <w:sz w:val="21"/>
                <w:szCs w:val="21"/>
              </w:rPr>
              <w:t>；</w:t>
            </w:r>
            <w:r>
              <w:rPr>
                <w:rFonts w:eastAsia="仿宋_GB2312"/>
                <w:sz w:val="21"/>
                <w:szCs w:val="21"/>
              </w:rPr>
              <w:t>（3</w:t>
            </w:r>
            <w:r>
              <w:rPr>
                <w:rFonts w:eastAsia="仿宋_GB2312"/>
                <w:spacing w:val="-20"/>
                <w:sz w:val="21"/>
                <w:szCs w:val="21"/>
              </w:rPr>
              <w:t>）</w:t>
            </w:r>
            <w:r>
              <w:rPr>
                <w:rFonts w:eastAsia="仿宋_GB2312"/>
                <w:sz w:val="21"/>
                <w:szCs w:val="21"/>
              </w:rPr>
              <w:t>室内用水、</w:t>
            </w:r>
            <w:r>
              <w:rPr>
                <w:rFonts w:eastAsia="仿宋_GB2312"/>
                <w:spacing w:val="2"/>
                <w:sz w:val="21"/>
                <w:szCs w:val="21"/>
              </w:rPr>
              <w:t>室外用水；（4）空气处理设备的流量和压力</w:t>
            </w:r>
            <w:r>
              <w:rPr>
                <w:rFonts w:eastAsia="仿宋_GB2312"/>
                <w:sz w:val="21"/>
                <w:szCs w:val="21"/>
              </w:rPr>
              <w:t>计量；（5）锅炉；（6）冷却塔。</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必要时，工厂应投入适宜的污染物处理设备，</w:t>
            </w:r>
            <w:r>
              <w:rPr>
                <w:rFonts w:eastAsia="仿宋_GB2312"/>
                <w:spacing w:val="9"/>
                <w:sz w:val="21"/>
                <w:szCs w:val="21"/>
              </w:rPr>
              <w:t>以确保其污染物排放达到相关法律法规及标</w:t>
            </w:r>
            <w:r>
              <w:rPr>
                <w:rFonts w:eastAsia="仿宋_GB2312"/>
                <w:sz w:val="21"/>
                <w:szCs w:val="21"/>
              </w:rPr>
              <w:t>准要求</w:t>
            </w:r>
            <w:r>
              <w:rPr>
                <w:rFonts w:eastAsia="仿宋_GB2312"/>
                <w:spacing w:val="-56"/>
                <w:sz w:val="21"/>
                <w:szCs w:val="21"/>
              </w:rPr>
              <w:t>。</w:t>
            </w:r>
            <w:r>
              <w:rPr>
                <w:rFonts w:eastAsia="仿宋_GB2312"/>
                <w:sz w:val="21"/>
                <w:szCs w:val="21"/>
              </w:rPr>
              <w:t>污染物处理设备的处理能力应与工厂生产排放相适应</w:t>
            </w:r>
            <w:r>
              <w:rPr>
                <w:rFonts w:eastAsia="仿宋_GB2312"/>
                <w:spacing w:val="-56"/>
                <w:sz w:val="21"/>
                <w:szCs w:val="21"/>
              </w:rPr>
              <w:t>，</w:t>
            </w:r>
            <w:r>
              <w:rPr>
                <w:rFonts w:eastAsia="仿宋_GB2312"/>
                <w:sz w:val="21"/>
                <w:szCs w:val="21"/>
              </w:rPr>
              <w:t>设备应满足通用设备的节能方面的要求。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ind w:left="102"/>
              <w:rPr>
                <w:rFonts w:eastAsia="仿宋_GB2312"/>
                <w:sz w:val="21"/>
                <w:szCs w:val="21"/>
              </w:rPr>
            </w:pPr>
            <w:r>
              <w:rPr>
                <w:rFonts w:eastAsia="仿宋_GB2312"/>
                <w:spacing w:val="9"/>
                <w:sz w:val="21"/>
                <w:szCs w:val="21"/>
              </w:rPr>
              <w:t>工厂使用的通用用能设备采用了节能型产品</w:t>
            </w:r>
            <w:r>
              <w:rPr>
                <w:rFonts w:eastAsia="仿宋_GB2312"/>
                <w:sz w:val="21"/>
                <w:szCs w:val="21"/>
              </w:rPr>
              <w:t>或效率高、能耗低、水耗低、物耗低的产品。</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8</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2</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管理体系</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质量管理体系</w:t>
            </w:r>
          </w:p>
        </w:tc>
        <w:tc>
          <w:tcPr>
            <w:tcW w:w="2104" w:type="pct"/>
            <w:vAlign w:val="center"/>
          </w:tcPr>
          <w:p>
            <w:pPr>
              <w:overflowPunct w:val="0"/>
              <w:topLinePunct/>
              <w:spacing w:line="320" w:lineRule="exact"/>
              <w:rPr>
                <w:rFonts w:eastAsia="仿宋_GB2312"/>
                <w:szCs w:val="21"/>
              </w:rPr>
            </w:pPr>
            <w:r>
              <w:rPr>
                <w:rFonts w:eastAsia="仿宋_GB2312"/>
                <w:szCs w:val="21"/>
              </w:rPr>
              <w:t>工厂建立、实施并保持满足GB/T 19001的要求的质量管理体系。</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restart"/>
            <w:vAlign w:val="center"/>
          </w:tcPr>
          <w:p>
            <w:pPr>
              <w:overflowPunct w:val="0"/>
              <w:topLinePunct/>
              <w:spacing w:line="320" w:lineRule="exact"/>
              <w:jc w:val="center"/>
              <w:rPr>
                <w:rFonts w:eastAsia="仿宋_GB2312"/>
                <w:szCs w:val="21"/>
              </w:rPr>
            </w:pPr>
            <w:r>
              <w:rPr>
                <w:rFonts w:eastAsia="仿宋_GB2312"/>
                <w:szCs w:val="21"/>
              </w:rPr>
              <w:t>15%</w:t>
            </w: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320" w:lineRule="exact"/>
              <w:rPr>
                <w:rFonts w:eastAsia="仿宋_GB2312"/>
                <w:szCs w:val="21"/>
              </w:rPr>
            </w:pPr>
            <w:r>
              <w:rPr>
                <w:rFonts w:eastAsia="仿宋_GB2312"/>
                <w:szCs w:val="21"/>
              </w:rPr>
              <w:t>通过质量管理体系第三方认证。</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8</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职业健康安全管理</w:t>
            </w:r>
          </w:p>
          <w:p>
            <w:pPr>
              <w:overflowPunct w:val="0"/>
              <w:topLinePunct/>
              <w:spacing w:line="320" w:lineRule="exact"/>
              <w:jc w:val="center"/>
              <w:rPr>
                <w:rFonts w:eastAsia="仿宋_GB2312"/>
                <w:szCs w:val="21"/>
              </w:rPr>
            </w:pPr>
            <w:r>
              <w:rPr>
                <w:rFonts w:eastAsia="仿宋_GB2312"/>
                <w:szCs w:val="21"/>
              </w:rPr>
              <w:t>体系</w:t>
            </w:r>
          </w:p>
        </w:tc>
        <w:tc>
          <w:tcPr>
            <w:tcW w:w="2104" w:type="pct"/>
            <w:vAlign w:val="center"/>
          </w:tcPr>
          <w:p>
            <w:pPr>
              <w:overflowPunct w:val="0"/>
              <w:topLinePunct/>
              <w:spacing w:line="320" w:lineRule="exact"/>
              <w:rPr>
                <w:rFonts w:eastAsia="仿宋_GB2312"/>
                <w:szCs w:val="21"/>
              </w:rPr>
            </w:pPr>
            <w:r>
              <w:rPr>
                <w:rFonts w:eastAsia="仿宋_GB2312"/>
                <w:szCs w:val="21"/>
              </w:rPr>
              <w:t>工厂建立、实施并保持满足GB/T 28001要求的职业健康安全管理体系。</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320" w:lineRule="exact"/>
              <w:rPr>
                <w:rFonts w:eastAsia="仿宋_GB2312"/>
                <w:szCs w:val="21"/>
              </w:rPr>
            </w:pPr>
            <w:r>
              <w:rPr>
                <w:rFonts w:eastAsia="仿宋_GB2312"/>
                <w:szCs w:val="21"/>
              </w:rPr>
              <w:t>通过职业健康安全管理体系第三方认证。</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8</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环境管理体系</w:t>
            </w:r>
          </w:p>
        </w:tc>
        <w:tc>
          <w:tcPr>
            <w:tcW w:w="2104" w:type="pct"/>
            <w:vAlign w:val="center"/>
          </w:tcPr>
          <w:p>
            <w:pPr>
              <w:overflowPunct w:val="0"/>
              <w:topLinePunct/>
              <w:spacing w:line="320" w:lineRule="exact"/>
              <w:rPr>
                <w:rFonts w:eastAsia="仿宋_GB2312"/>
                <w:szCs w:val="21"/>
              </w:rPr>
            </w:pPr>
            <w:r>
              <w:rPr>
                <w:rFonts w:eastAsia="仿宋_GB2312"/>
                <w:szCs w:val="21"/>
              </w:rPr>
              <w:t>工厂建立、实施并保持满足GB/T 24001要求的环境管理体系。</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20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320" w:lineRule="exact"/>
              <w:rPr>
                <w:rFonts w:eastAsia="仿宋_GB2312"/>
                <w:szCs w:val="21"/>
              </w:rPr>
            </w:pPr>
            <w:r>
              <w:rPr>
                <w:rFonts w:eastAsia="仿宋_GB2312"/>
                <w:szCs w:val="21"/>
              </w:rPr>
              <w:t>通过环境管理体系第三方认证。</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能源管理体系</w:t>
            </w:r>
          </w:p>
        </w:tc>
        <w:tc>
          <w:tcPr>
            <w:tcW w:w="2104" w:type="pct"/>
            <w:vAlign w:val="center"/>
          </w:tcPr>
          <w:p>
            <w:pPr>
              <w:overflowPunct w:val="0"/>
              <w:topLinePunct/>
              <w:spacing w:line="320" w:lineRule="exact"/>
              <w:rPr>
                <w:rFonts w:eastAsia="仿宋_GB2312"/>
                <w:szCs w:val="21"/>
              </w:rPr>
            </w:pPr>
            <w:r>
              <w:rPr>
                <w:rFonts w:eastAsia="仿宋_GB2312"/>
                <w:szCs w:val="21"/>
              </w:rPr>
              <w:t>工厂建立、实施并保持满足GB/T 23331要求的能源管理体系。</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20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320" w:lineRule="exact"/>
              <w:rPr>
                <w:rFonts w:eastAsia="仿宋_GB2312"/>
                <w:szCs w:val="21"/>
              </w:rPr>
            </w:pPr>
            <w:r>
              <w:rPr>
                <w:rFonts w:eastAsia="仿宋_GB2312"/>
                <w:szCs w:val="21"/>
              </w:rPr>
              <w:t>通过能源管理体系第三方认证。</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Align w:val="center"/>
          </w:tcPr>
          <w:p>
            <w:pPr>
              <w:overflowPunct w:val="0"/>
              <w:topLinePunct/>
              <w:spacing w:line="320" w:lineRule="exact"/>
              <w:jc w:val="center"/>
              <w:rPr>
                <w:rFonts w:eastAsia="仿宋_GB2312"/>
                <w:szCs w:val="21"/>
              </w:rPr>
            </w:pPr>
            <w:r>
              <w:rPr>
                <w:rFonts w:eastAsia="仿宋_GB2312"/>
                <w:szCs w:val="21"/>
              </w:rPr>
              <w:t>社会</w:t>
            </w:r>
          </w:p>
          <w:p>
            <w:pPr>
              <w:overflowPunct w:val="0"/>
              <w:topLinePunct/>
              <w:spacing w:line="320" w:lineRule="exact"/>
              <w:jc w:val="center"/>
              <w:rPr>
                <w:rFonts w:eastAsia="仿宋_GB2312"/>
                <w:szCs w:val="21"/>
              </w:rPr>
            </w:pPr>
            <w:r>
              <w:rPr>
                <w:rFonts w:eastAsia="仿宋_GB2312"/>
                <w:szCs w:val="21"/>
              </w:rPr>
              <w:t>责任</w:t>
            </w:r>
          </w:p>
        </w:tc>
        <w:tc>
          <w:tcPr>
            <w:tcW w:w="2104" w:type="pct"/>
            <w:vAlign w:val="center"/>
          </w:tcPr>
          <w:p>
            <w:pPr>
              <w:overflowPunct w:val="0"/>
              <w:topLinePunct/>
              <w:spacing w:line="320" w:lineRule="exact"/>
              <w:rPr>
                <w:rFonts w:eastAsia="仿宋_GB2312"/>
                <w:szCs w:val="21"/>
              </w:rPr>
            </w:pPr>
            <w:r>
              <w:rPr>
                <w:rFonts w:eastAsia="仿宋_GB2312"/>
                <w:szCs w:val="21"/>
              </w:rPr>
              <w:t>每年发布社会责任报告，说明履行利益相关方责任的情况，特别是环境社会责任的履行情况，报告公开可获得。</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3</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能源资源投入</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能源</w:t>
            </w:r>
          </w:p>
          <w:p>
            <w:pPr>
              <w:overflowPunct w:val="0"/>
              <w:topLinePunct/>
              <w:spacing w:line="320" w:lineRule="exact"/>
              <w:jc w:val="center"/>
              <w:rPr>
                <w:rFonts w:eastAsia="仿宋_GB2312"/>
                <w:szCs w:val="21"/>
              </w:rPr>
            </w:pPr>
            <w:r>
              <w:rPr>
                <w:rFonts w:eastAsia="仿宋_GB2312"/>
                <w:szCs w:val="21"/>
              </w:rPr>
              <w:t>投入</w:t>
            </w:r>
          </w:p>
        </w:tc>
        <w:tc>
          <w:tcPr>
            <w:tcW w:w="2104" w:type="pct"/>
            <w:vAlign w:val="center"/>
          </w:tcPr>
          <w:p>
            <w:pPr>
              <w:overflowPunct w:val="0"/>
              <w:topLinePunct/>
              <w:spacing w:line="320" w:lineRule="exact"/>
              <w:rPr>
                <w:rFonts w:eastAsia="仿宋_GB2312"/>
                <w:szCs w:val="21"/>
              </w:rPr>
            </w:pPr>
            <w:r>
              <w:rPr>
                <w:rFonts w:eastAsia="仿宋_GB2312"/>
                <w:szCs w:val="21"/>
              </w:rPr>
              <w:t>工厂应优化用能结构，在保证安全、质量的前提下减少能源投入。</w:t>
            </w:r>
          </w:p>
        </w:tc>
        <w:tc>
          <w:tcPr>
            <w:tcW w:w="592" w:type="pct"/>
            <w:vAlign w:val="center"/>
          </w:tcPr>
          <w:p>
            <w:pPr>
              <w:overflowPunct w:val="0"/>
              <w:topLinePunct/>
              <w:spacing w:line="320" w:lineRule="exact"/>
              <w:rPr>
                <w:rFonts w:eastAsia="仿宋_GB2312"/>
                <w:szCs w:val="21"/>
              </w:rPr>
            </w:pP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restart"/>
            <w:vAlign w:val="center"/>
          </w:tcPr>
          <w:p>
            <w:pPr>
              <w:overflowPunct w:val="0"/>
              <w:topLinePunct/>
              <w:spacing w:line="320" w:lineRule="exact"/>
              <w:jc w:val="center"/>
              <w:rPr>
                <w:rFonts w:eastAsia="仿宋_GB2312"/>
                <w:szCs w:val="21"/>
              </w:rPr>
            </w:pPr>
            <w:r>
              <w:rPr>
                <w:rFonts w:eastAsia="仿宋_GB2312"/>
                <w:szCs w:val="21"/>
              </w:rPr>
              <w:t>15%</w:t>
            </w: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建有能源管理中心。</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8</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建有厂区光伏电站、智能微电网。</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before="46" w:line="320" w:lineRule="exact"/>
              <w:rPr>
                <w:rFonts w:eastAsia="仿宋_GB2312"/>
                <w:sz w:val="21"/>
                <w:szCs w:val="21"/>
              </w:rPr>
            </w:pPr>
            <w:r>
              <w:rPr>
                <w:rFonts w:eastAsia="仿宋_GB2312"/>
                <w:sz w:val="21"/>
                <w:szCs w:val="21"/>
              </w:rPr>
              <w:t>使用了低碳清洁的新能源。</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使用可再生能源代替不可再生能源。</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充分利用余热余压。</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3</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能源资源投入</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资源投入</w:t>
            </w: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工厂应按照</w:t>
            </w:r>
            <w:r>
              <w:rPr>
                <w:rFonts w:eastAsia="仿宋_GB2312"/>
                <w:spacing w:val="-62"/>
                <w:sz w:val="21"/>
                <w:szCs w:val="21"/>
              </w:rPr>
              <w:t xml:space="preserve"> </w:t>
            </w:r>
            <w:r>
              <w:rPr>
                <w:rFonts w:eastAsia="仿宋_GB2312"/>
                <w:spacing w:val="-1"/>
                <w:sz w:val="21"/>
                <w:szCs w:val="21"/>
              </w:rPr>
              <w:t>GB/T7119</w:t>
            </w:r>
            <w:r>
              <w:rPr>
                <w:rFonts w:eastAsia="仿宋_GB2312"/>
                <w:spacing w:val="-5"/>
                <w:sz w:val="21"/>
                <w:szCs w:val="21"/>
              </w:rPr>
              <w:t xml:space="preserve"> </w:t>
            </w:r>
            <w:r>
              <w:rPr>
                <w:rFonts w:eastAsia="仿宋_GB2312"/>
                <w:sz w:val="21"/>
                <w:szCs w:val="21"/>
              </w:rPr>
              <w:t>的要求对其开展节水评</w:t>
            </w:r>
            <w:r>
              <w:rPr>
                <w:rFonts w:eastAsia="仿宋_GB2312"/>
                <w:spacing w:val="-4"/>
                <w:sz w:val="21"/>
                <w:szCs w:val="21"/>
              </w:rPr>
              <w:t>价工作，且满足</w:t>
            </w:r>
            <w:r>
              <w:rPr>
                <w:rFonts w:eastAsia="仿宋_GB2312"/>
                <w:spacing w:val="-62"/>
                <w:sz w:val="21"/>
                <w:szCs w:val="21"/>
              </w:rPr>
              <w:t xml:space="preserve"> </w:t>
            </w:r>
            <w:r>
              <w:rPr>
                <w:rFonts w:eastAsia="仿宋_GB2312"/>
                <w:spacing w:val="-3"/>
                <w:sz w:val="21"/>
                <w:szCs w:val="21"/>
              </w:rPr>
              <w:t>GB/T18916（所有部分）中对</w:t>
            </w:r>
            <w:r>
              <w:rPr>
                <w:rFonts w:eastAsia="仿宋_GB2312"/>
                <w:sz w:val="21"/>
                <w:szCs w:val="21"/>
              </w:rPr>
              <w:t>应本行业的取水定额要求。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restart"/>
            <w:vAlign w:val="center"/>
          </w:tcPr>
          <w:p>
            <w:pPr>
              <w:overflowPunct w:val="0"/>
              <w:topLinePunct/>
              <w:spacing w:line="320" w:lineRule="exact"/>
              <w:jc w:val="center"/>
              <w:rPr>
                <w:rFonts w:eastAsia="仿宋_GB2312"/>
                <w:szCs w:val="21"/>
              </w:rPr>
            </w:pPr>
            <w:r>
              <w:rPr>
                <w:rFonts w:eastAsia="仿宋_GB2312"/>
                <w:szCs w:val="21"/>
              </w:rPr>
              <w:t>15%</w:t>
            </w: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工厂应减少材料、尤其是有害物质的使用</w:t>
            </w:r>
            <w:r>
              <w:rPr>
                <w:rFonts w:eastAsia="仿宋_GB2312"/>
                <w:spacing w:val="-56"/>
                <w:sz w:val="21"/>
                <w:szCs w:val="21"/>
              </w:rPr>
              <w:t>，</w:t>
            </w:r>
            <w:r>
              <w:rPr>
                <w:rFonts w:eastAsia="仿宋_GB2312"/>
                <w:sz w:val="21"/>
                <w:szCs w:val="21"/>
              </w:rPr>
              <w:t>评</w:t>
            </w:r>
            <w:r>
              <w:rPr>
                <w:rFonts w:eastAsia="仿宋_GB2312"/>
                <w:spacing w:val="9"/>
                <w:sz w:val="21"/>
                <w:szCs w:val="21"/>
              </w:rPr>
              <w:t>估有害物质及化学品减量使用或替代的可行</w:t>
            </w:r>
            <w:r>
              <w:rPr>
                <w:rFonts w:eastAsia="仿宋_GB2312"/>
                <w:sz w:val="21"/>
                <w:szCs w:val="21"/>
              </w:rPr>
              <w:t>性。</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工厂应按照</w:t>
            </w:r>
            <w:r>
              <w:rPr>
                <w:rFonts w:eastAsia="仿宋_GB2312"/>
                <w:spacing w:val="-60"/>
                <w:sz w:val="21"/>
                <w:szCs w:val="21"/>
              </w:rPr>
              <w:t xml:space="preserve"> </w:t>
            </w:r>
            <w:r>
              <w:rPr>
                <w:rFonts w:eastAsia="仿宋_GB2312"/>
                <w:spacing w:val="-1"/>
                <w:sz w:val="21"/>
                <w:szCs w:val="21"/>
              </w:rPr>
              <w:t>GB/T</w:t>
            </w:r>
            <w:r>
              <w:rPr>
                <w:rFonts w:eastAsia="仿宋_GB2312"/>
                <w:spacing w:val="6"/>
                <w:sz w:val="21"/>
                <w:szCs w:val="21"/>
              </w:rPr>
              <w:t xml:space="preserve"> </w:t>
            </w:r>
            <w:r>
              <w:rPr>
                <w:rFonts w:eastAsia="仿宋_GB2312"/>
                <w:sz w:val="21"/>
                <w:szCs w:val="21"/>
              </w:rPr>
              <w:t>29115</w:t>
            </w:r>
            <w:r>
              <w:rPr>
                <w:rFonts w:eastAsia="仿宋_GB2312"/>
                <w:spacing w:val="1"/>
                <w:sz w:val="21"/>
                <w:szCs w:val="21"/>
              </w:rPr>
              <w:t xml:space="preserve"> </w:t>
            </w:r>
            <w:r>
              <w:rPr>
                <w:rFonts w:eastAsia="仿宋_GB2312"/>
                <w:spacing w:val="2"/>
                <w:sz w:val="21"/>
                <w:szCs w:val="21"/>
              </w:rPr>
              <w:t>的要求对其原材料使</w:t>
            </w:r>
            <w:r>
              <w:rPr>
                <w:rFonts w:eastAsia="仿宋_GB2312"/>
                <w:sz w:val="21"/>
                <w:szCs w:val="21"/>
              </w:rPr>
              <w:t>用量的减少进行评价。</w:t>
            </w:r>
          </w:p>
        </w:tc>
        <w:tc>
          <w:tcPr>
            <w:tcW w:w="592" w:type="pct"/>
            <w:vAlign w:val="center"/>
          </w:tcPr>
          <w:p>
            <w:pPr>
              <w:overflowPunct w:val="0"/>
              <w:topLinePunct/>
              <w:spacing w:line="320" w:lineRule="exact"/>
              <w:rPr>
                <w:rFonts w:eastAsia="仿宋_GB2312"/>
                <w:szCs w:val="21"/>
              </w:rPr>
            </w:pP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使用回收料</w:t>
            </w:r>
            <w:r>
              <w:rPr>
                <w:rFonts w:eastAsia="仿宋_GB2312"/>
                <w:spacing w:val="-29"/>
                <w:sz w:val="21"/>
                <w:szCs w:val="21"/>
              </w:rPr>
              <w:t>、</w:t>
            </w:r>
            <w:r>
              <w:rPr>
                <w:rFonts w:eastAsia="仿宋_GB2312"/>
                <w:sz w:val="21"/>
                <w:szCs w:val="21"/>
              </w:rPr>
              <w:t>可回收材料替代原生材料</w:t>
            </w:r>
            <w:r>
              <w:rPr>
                <w:rFonts w:eastAsia="仿宋_GB2312"/>
                <w:spacing w:val="-27"/>
                <w:sz w:val="21"/>
                <w:szCs w:val="21"/>
              </w:rPr>
              <w:t>、</w:t>
            </w:r>
            <w:r>
              <w:rPr>
                <w:rFonts w:eastAsia="仿宋_GB2312"/>
                <w:sz w:val="21"/>
                <w:szCs w:val="21"/>
              </w:rPr>
              <w:t>不可回收材料。</w:t>
            </w:r>
          </w:p>
        </w:tc>
        <w:tc>
          <w:tcPr>
            <w:tcW w:w="592" w:type="pct"/>
            <w:vAlign w:val="center"/>
          </w:tcPr>
          <w:p>
            <w:pPr>
              <w:overflowPunct w:val="0"/>
              <w:topLinePunct/>
              <w:spacing w:line="320" w:lineRule="exact"/>
              <w:rPr>
                <w:rFonts w:eastAsia="仿宋_GB2312"/>
                <w:szCs w:val="21"/>
              </w:rPr>
            </w:pP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替代或减少全球增温潜势较高温室气体的使</w:t>
            </w:r>
            <w:r>
              <w:rPr>
                <w:rFonts w:eastAsia="仿宋_GB2312"/>
                <w:sz w:val="21"/>
                <w:szCs w:val="21"/>
              </w:rPr>
              <w:t>用。</w:t>
            </w:r>
          </w:p>
        </w:tc>
        <w:tc>
          <w:tcPr>
            <w:tcW w:w="592" w:type="pct"/>
            <w:vAlign w:val="center"/>
          </w:tcPr>
          <w:p>
            <w:pPr>
              <w:overflowPunct w:val="0"/>
              <w:topLinePunct/>
              <w:spacing w:line="320" w:lineRule="exact"/>
              <w:rPr>
                <w:rFonts w:eastAsia="仿宋_GB2312"/>
                <w:szCs w:val="21"/>
              </w:rPr>
            </w:pP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采购</w:t>
            </w:r>
          </w:p>
        </w:tc>
        <w:tc>
          <w:tcPr>
            <w:tcW w:w="2104" w:type="pct"/>
            <w:vAlign w:val="center"/>
          </w:tcPr>
          <w:p>
            <w:pPr>
              <w:pStyle w:val="47"/>
              <w:overflowPunct w:val="0"/>
              <w:topLinePunct/>
              <w:spacing w:before="41" w:line="320" w:lineRule="exact"/>
              <w:ind w:right="100"/>
              <w:rPr>
                <w:rFonts w:eastAsia="仿宋_GB2312"/>
                <w:sz w:val="21"/>
                <w:szCs w:val="21"/>
              </w:rPr>
            </w:pPr>
            <w:r>
              <w:rPr>
                <w:rFonts w:eastAsia="仿宋_GB2312"/>
                <w:sz w:val="21"/>
                <w:szCs w:val="21"/>
              </w:rPr>
              <w:t>工厂应制定并实施包括环保要求的选择</w:t>
            </w:r>
            <w:r>
              <w:rPr>
                <w:rFonts w:eastAsia="仿宋_GB2312"/>
                <w:spacing w:val="-56"/>
                <w:sz w:val="21"/>
                <w:szCs w:val="21"/>
              </w:rPr>
              <w:t>、</w:t>
            </w:r>
            <w:r>
              <w:rPr>
                <w:rFonts w:eastAsia="仿宋_GB2312"/>
                <w:sz w:val="21"/>
                <w:szCs w:val="21"/>
              </w:rPr>
              <w:t>评价和重新评价供方的准则。</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工厂应确定并实施检验或其他必要的活动</w:t>
            </w:r>
            <w:r>
              <w:rPr>
                <w:rFonts w:eastAsia="仿宋_GB2312"/>
                <w:spacing w:val="-56"/>
                <w:sz w:val="21"/>
                <w:szCs w:val="21"/>
              </w:rPr>
              <w:t>，</w:t>
            </w:r>
            <w:r>
              <w:rPr>
                <w:rFonts w:eastAsia="仿宋_GB2312"/>
                <w:sz w:val="21"/>
                <w:szCs w:val="21"/>
              </w:rPr>
              <w:t>以确保采购的产品满足规定的采购要求。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工厂向供方提供的采购信息包含有害物质使</w:t>
            </w:r>
            <w:r>
              <w:rPr>
                <w:rFonts w:eastAsia="仿宋_GB2312"/>
                <w:sz w:val="21"/>
                <w:szCs w:val="21"/>
              </w:rPr>
              <w:t>用、可回收材料使用、能效等环保要求。</w:t>
            </w:r>
          </w:p>
        </w:tc>
        <w:tc>
          <w:tcPr>
            <w:tcW w:w="592" w:type="pct"/>
            <w:vAlign w:val="center"/>
          </w:tcPr>
          <w:p>
            <w:pPr>
              <w:overflowPunct w:val="0"/>
              <w:topLinePunct/>
              <w:spacing w:line="320" w:lineRule="exact"/>
              <w:rPr>
                <w:rFonts w:eastAsia="仿宋_GB2312"/>
                <w:szCs w:val="21"/>
              </w:rPr>
            </w:pP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满足绿色供应链评价要求。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4</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产品</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生态</w:t>
            </w:r>
          </w:p>
          <w:p>
            <w:pPr>
              <w:overflowPunct w:val="0"/>
              <w:topLinePunct/>
              <w:spacing w:line="320" w:lineRule="exact"/>
              <w:jc w:val="center"/>
              <w:rPr>
                <w:rFonts w:eastAsia="仿宋_GB2312"/>
                <w:szCs w:val="21"/>
              </w:rPr>
            </w:pPr>
            <w:r>
              <w:rPr>
                <w:rFonts w:eastAsia="仿宋_GB2312"/>
                <w:szCs w:val="21"/>
              </w:rPr>
              <w:t>设计</w:t>
            </w:r>
          </w:p>
        </w:tc>
        <w:tc>
          <w:tcPr>
            <w:tcW w:w="2104" w:type="pct"/>
            <w:vAlign w:val="center"/>
          </w:tcPr>
          <w:p>
            <w:pPr>
              <w:pStyle w:val="47"/>
              <w:overflowPunct w:val="0"/>
              <w:topLinePunct/>
              <w:spacing w:before="165" w:line="320" w:lineRule="exact"/>
              <w:rPr>
                <w:rFonts w:eastAsia="仿宋_GB2312"/>
                <w:sz w:val="21"/>
                <w:szCs w:val="21"/>
              </w:rPr>
            </w:pPr>
            <w:r>
              <w:rPr>
                <w:rFonts w:eastAsia="仿宋_GB2312"/>
                <w:sz w:val="21"/>
                <w:szCs w:val="21"/>
              </w:rPr>
              <w:t>工厂在产品设计中引入生态设计的理念。</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30</w:t>
            </w:r>
          </w:p>
        </w:tc>
        <w:tc>
          <w:tcPr>
            <w:tcW w:w="255" w:type="pct"/>
            <w:vMerge w:val="restart"/>
            <w:vAlign w:val="center"/>
          </w:tcPr>
          <w:p>
            <w:pPr>
              <w:overflowPunct w:val="0"/>
              <w:topLinePunct/>
              <w:spacing w:line="320" w:lineRule="exact"/>
              <w:jc w:val="center"/>
              <w:rPr>
                <w:rFonts w:eastAsia="仿宋_GB2312"/>
                <w:szCs w:val="21"/>
              </w:rPr>
            </w:pPr>
            <w:r>
              <w:rPr>
                <w:rFonts w:eastAsia="仿宋_GB2312"/>
                <w:szCs w:val="21"/>
              </w:rPr>
              <w:t>10%</w:t>
            </w: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ind w:right="-18"/>
              <w:rPr>
                <w:rFonts w:eastAsia="仿宋_GB2312"/>
                <w:sz w:val="21"/>
                <w:szCs w:val="21"/>
              </w:rPr>
            </w:pPr>
            <w:r>
              <w:rPr>
                <w:rFonts w:eastAsia="仿宋_GB2312"/>
                <w:sz w:val="21"/>
                <w:szCs w:val="21"/>
              </w:rPr>
              <w:t>按照</w:t>
            </w:r>
            <w:r>
              <w:rPr>
                <w:rFonts w:eastAsia="仿宋_GB2312"/>
                <w:spacing w:val="-60"/>
                <w:sz w:val="21"/>
                <w:szCs w:val="21"/>
              </w:rPr>
              <w:t xml:space="preserve"> </w:t>
            </w:r>
            <w:r>
              <w:rPr>
                <w:rFonts w:eastAsia="仿宋_GB2312"/>
                <w:sz w:val="21"/>
                <w:szCs w:val="21"/>
              </w:rPr>
              <w:t>GB/T</w:t>
            </w:r>
            <w:r>
              <w:rPr>
                <w:rFonts w:eastAsia="仿宋_GB2312"/>
                <w:spacing w:val="-56"/>
                <w:sz w:val="21"/>
                <w:szCs w:val="21"/>
              </w:rPr>
              <w:t xml:space="preserve"> </w:t>
            </w:r>
            <w:r>
              <w:rPr>
                <w:rFonts w:eastAsia="仿宋_GB2312"/>
                <w:sz w:val="21"/>
                <w:szCs w:val="21"/>
              </w:rPr>
              <w:t>24256</w:t>
            </w:r>
            <w:r>
              <w:rPr>
                <w:rFonts w:eastAsia="仿宋_GB2312"/>
                <w:spacing w:val="-60"/>
                <w:sz w:val="21"/>
                <w:szCs w:val="21"/>
              </w:rPr>
              <w:t xml:space="preserve"> </w:t>
            </w:r>
            <w:r>
              <w:rPr>
                <w:rFonts w:eastAsia="仿宋_GB2312"/>
                <w:sz w:val="21"/>
                <w:szCs w:val="21"/>
              </w:rPr>
              <w:t>对生产的产品进行生态设计。</w:t>
            </w:r>
          </w:p>
        </w:tc>
        <w:tc>
          <w:tcPr>
            <w:tcW w:w="592" w:type="pct"/>
            <w:vAlign w:val="center"/>
          </w:tcPr>
          <w:p>
            <w:pPr>
              <w:overflowPunct w:val="0"/>
              <w:topLinePunct/>
              <w:spacing w:line="320" w:lineRule="exact"/>
              <w:rPr>
                <w:rFonts w:eastAsia="仿宋_GB2312"/>
                <w:szCs w:val="21"/>
              </w:rPr>
            </w:pPr>
          </w:p>
        </w:tc>
        <w:tc>
          <w:tcPr>
            <w:tcW w:w="457" w:type="pct"/>
            <w:vMerge w:val="restar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32161</w:t>
            </w:r>
            <w:r>
              <w:rPr>
                <w:rFonts w:eastAsia="仿宋_GB2312"/>
                <w:spacing w:val="-56"/>
                <w:sz w:val="21"/>
                <w:szCs w:val="21"/>
              </w:rPr>
              <w:t xml:space="preserve"> </w:t>
            </w:r>
            <w:r>
              <w:rPr>
                <w:rFonts w:eastAsia="仿宋_GB2312"/>
                <w:spacing w:val="3"/>
                <w:sz w:val="21"/>
                <w:szCs w:val="21"/>
              </w:rPr>
              <w:t>对生产的产品进行生态设计</w:t>
            </w:r>
            <w:r>
              <w:rPr>
                <w:rFonts w:eastAsia="仿宋_GB2312"/>
                <w:sz w:val="21"/>
                <w:szCs w:val="21"/>
              </w:rPr>
              <w:t>产品评价，满足绿色产品（生态设计产品</w:t>
            </w:r>
            <w:r>
              <w:rPr>
                <w:rFonts w:eastAsia="仿宋_GB2312"/>
                <w:spacing w:val="-56"/>
                <w:sz w:val="21"/>
                <w:szCs w:val="21"/>
              </w:rPr>
              <w:t>）</w:t>
            </w:r>
            <w:r>
              <w:rPr>
                <w:rFonts w:eastAsia="仿宋_GB2312"/>
                <w:sz w:val="21"/>
                <w:szCs w:val="21"/>
              </w:rPr>
              <w:t>评价要求。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有害物质使用</w:t>
            </w: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工厂生产的产</w:t>
            </w:r>
            <w:r>
              <w:rPr>
                <w:rFonts w:eastAsia="仿宋_GB2312"/>
                <w:spacing w:val="-29"/>
                <w:sz w:val="21"/>
                <w:szCs w:val="21"/>
              </w:rPr>
              <w:t>品</w:t>
            </w:r>
            <w:r>
              <w:rPr>
                <w:rFonts w:eastAsia="仿宋_GB2312"/>
                <w:sz w:val="21"/>
                <w:szCs w:val="21"/>
              </w:rPr>
              <w:t>（包括原料和辅料</w:t>
            </w:r>
            <w:r>
              <w:rPr>
                <w:rFonts w:eastAsia="仿宋_GB2312"/>
                <w:spacing w:val="-27"/>
                <w:sz w:val="21"/>
                <w:szCs w:val="21"/>
              </w:rPr>
              <w:t>）</w:t>
            </w:r>
            <w:r>
              <w:rPr>
                <w:rFonts w:eastAsia="仿宋_GB2312"/>
                <w:sz w:val="21"/>
                <w:szCs w:val="21"/>
              </w:rPr>
              <w:t>应减少有害物质的使用</w:t>
            </w:r>
            <w:r>
              <w:rPr>
                <w:rFonts w:eastAsia="仿宋_GB2312"/>
                <w:spacing w:val="-29"/>
                <w:sz w:val="21"/>
                <w:szCs w:val="21"/>
              </w:rPr>
              <w:t>，</w:t>
            </w:r>
            <w:r>
              <w:rPr>
                <w:rFonts w:eastAsia="仿宋_GB2312"/>
                <w:sz w:val="21"/>
                <w:szCs w:val="21"/>
              </w:rPr>
              <w:t>避免有害物质的泄露</w:t>
            </w:r>
            <w:r>
              <w:rPr>
                <w:rFonts w:eastAsia="仿宋_GB2312"/>
                <w:spacing w:val="-27"/>
                <w:sz w:val="21"/>
                <w:szCs w:val="21"/>
              </w:rPr>
              <w:t>，</w:t>
            </w:r>
            <w:r>
              <w:rPr>
                <w:rFonts w:eastAsia="仿宋_GB2312"/>
                <w:sz w:val="21"/>
                <w:szCs w:val="21"/>
              </w:rPr>
              <w:t>满足国家对产品中有害物质限制使用的要求。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ind w:left="102"/>
              <w:rPr>
                <w:rFonts w:eastAsia="仿宋_GB2312"/>
                <w:sz w:val="21"/>
                <w:szCs w:val="21"/>
              </w:rPr>
            </w:pPr>
            <w:r>
              <w:rPr>
                <w:rFonts w:eastAsia="仿宋_GB2312"/>
                <w:sz w:val="21"/>
                <w:szCs w:val="21"/>
              </w:rPr>
              <w:t>实现有害物质替代。</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节能</w:t>
            </w: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工厂生产的产品若为用能产品或在使用过程</w:t>
            </w:r>
            <w:r>
              <w:rPr>
                <w:rFonts w:eastAsia="仿宋_GB2312"/>
                <w:spacing w:val="2"/>
                <w:sz w:val="21"/>
                <w:szCs w:val="21"/>
              </w:rPr>
              <w:t>中对最终产品/构造的能耗有影响的产品，适</w:t>
            </w:r>
            <w:r>
              <w:rPr>
                <w:rFonts w:eastAsia="仿宋_GB2312"/>
                <w:sz w:val="21"/>
                <w:szCs w:val="21"/>
              </w:rPr>
              <w:t>用时</w:t>
            </w:r>
            <w:r>
              <w:rPr>
                <w:rFonts w:eastAsia="仿宋_GB2312"/>
                <w:spacing w:val="-29"/>
                <w:sz w:val="21"/>
                <w:szCs w:val="21"/>
              </w:rPr>
              <w:t>，</w:t>
            </w:r>
            <w:r>
              <w:rPr>
                <w:rFonts w:eastAsia="仿宋_GB2312"/>
                <w:sz w:val="21"/>
                <w:szCs w:val="21"/>
              </w:rPr>
              <w:t>应满足相关标准的限定值要求</w:t>
            </w:r>
            <w:r>
              <w:rPr>
                <w:rFonts w:eastAsia="仿宋_GB2312"/>
                <w:spacing w:val="-27"/>
                <w:sz w:val="21"/>
                <w:szCs w:val="21"/>
              </w:rPr>
              <w:t>。</w:t>
            </w:r>
            <w:r>
              <w:rPr>
                <w:rFonts w:eastAsia="仿宋_GB2312"/>
                <w:sz w:val="21"/>
                <w:szCs w:val="21"/>
              </w:rPr>
              <w:t>未制定标准的，产品能效应不低于行业平均值。</w:t>
            </w:r>
          </w:p>
        </w:tc>
        <w:tc>
          <w:tcPr>
            <w:tcW w:w="592" w:type="pc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必选（适 用时）</w:t>
            </w:r>
          </w:p>
        </w:tc>
        <w:tc>
          <w:tcPr>
            <w:tcW w:w="305"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15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达到相关标准中的节能评价值/先进值要求，</w:t>
            </w:r>
            <w:r>
              <w:rPr>
                <w:rFonts w:eastAsia="仿宋_GB2312"/>
                <w:sz w:val="21"/>
                <w:szCs w:val="21"/>
              </w:rPr>
              <w:t>未制定标准的，产品能效达到行业前</w:t>
            </w:r>
            <w:r>
              <w:rPr>
                <w:rFonts w:eastAsia="仿宋_GB2312"/>
                <w:spacing w:val="-60"/>
                <w:sz w:val="21"/>
                <w:szCs w:val="21"/>
              </w:rPr>
              <w:t xml:space="preserve"> </w:t>
            </w:r>
            <w:r>
              <w:rPr>
                <w:rFonts w:eastAsia="仿宋_GB2312"/>
                <w:sz w:val="21"/>
                <w:szCs w:val="21"/>
              </w:rPr>
              <w:t>20%的水平，前</w:t>
            </w:r>
            <w:r>
              <w:rPr>
                <w:rFonts w:eastAsia="仿宋_GB2312"/>
                <w:spacing w:val="-60"/>
                <w:sz w:val="21"/>
                <w:szCs w:val="21"/>
              </w:rPr>
              <w:t xml:space="preserve"> </w:t>
            </w:r>
            <w:r>
              <w:rPr>
                <w:rFonts w:eastAsia="仿宋_GB2312"/>
                <w:sz w:val="21"/>
                <w:szCs w:val="21"/>
              </w:rPr>
              <w:t>5%为满分。</w:t>
            </w:r>
          </w:p>
        </w:tc>
        <w:tc>
          <w:tcPr>
            <w:tcW w:w="592" w:type="pc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49" w:line="320" w:lineRule="exact"/>
              <w:jc w:val="center"/>
              <w:rPr>
                <w:rFonts w:eastAsia="仿宋_GB2312"/>
                <w:sz w:val="21"/>
                <w:szCs w:val="21"/>
              </w:rPr>
            </w:pPr>
            <w:r>
              <w:rPr>
                <w:rFonts w:eastAsia="仿宋_GB2312"/>
                <w:sz w:val="21"/>
                <w:szCs w:val="21"/>
              </w:rPr>
              <w:t>可选（适 用时）</w:t>
            </w:r>
          </w:p>
        </w:tc>
        <w:tc>
          <w:tcPr>
            <w:tcW w:w="305"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pStyle w:val="47"/>
              <w:overflowPunct w:val="0"/>
              <w:topLinePunct/>
              <w:spacing w:line="320" w:lineRule="exact"/>
              <w:jc w:val="center"/>
              <w:rPr>
                <w:rFonts w:eastAsia="仿宋_GB2312"/>
                <w:sz w:val="21"/>
                <w:szCs w:val="21"/>
              </w:rPr>
            </w:pPr>
            <w:r>
              <w:rPr>
                <w:rFonts w:eastAsia="仿宋_GB2312"/>
                <w:sz w:val="21"/>
                <w:szCs w:val="21"/>
              </w:rPr>
              <w:t>减碳</w:t>
            </w: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采用适用的标准或规范对产品进行碳足迹核</w:t>
            </w:r>
            <w:r>
              <w:rPr>
                <w:rFonts w:eastAsia="仿宋_GB2312"/>
                <w:sz w:val="21"/>
                <w:szCs w:val="21"/>
              </w:rPr>
              <w:t>算或核查。</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pStyle w:val="47"/>
              <w:overflowPunct w:val="0"/>
              <w:topLinePunct/>
              <w:spacing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利用核算或核查结果对其产品的碳足迹进行</w:t>
            </w:r>
            <w:r>
              <w:rPr>
                <w:rFonts w:eastAsia="仿宋_GB2312"/>
                <w:sz w:val="21"/>
                <w:szCs w:val="21"/>
              </w:rPr>
              <w:t>改善。核算或核查结果对外公布。</w:t>
            </w:r>
          </w:p>
        </w:tc>
        <w:tc>
          <w:tcPr>
            <w:tcW w:w="592" w:type="pct"/>
            <w:vAlign w:val="center"/>
          </w:tcPr>
          <w:p>
            <w:pPr>
              <w:overflowPunct w:val="0"/>
              <w:topLinePunct/>
              <w:spacing w:line="320" w:lineRule="exact"/>
              <w:rPr>
                <w:rFonts w:eastAsia="仿宋_GB2312"/>
                <w:szCs w:val="21"/>
              </w:rPr>
            </w:pP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120" w:line="320" w:lineRule="exact"/>
              <w:jc w:val="center"/>
              <w:rPr>
                <w:rFonts w:eastAsia="仿宋_GB2312"/>
                <w:sz w:val="21"/>
                <w:szCs w:val="21"/>
              </w:rPr>
            </w:pPr>
            <w:r>
              <w:rPr>
                <w:rFonts w:eastAsia="仿宋_GB2312"/>
                <w:sz w:val="21"/>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before="47" w:line="320" w:lineRule="exact"/>
              <w:rPr>
                <w:rFonts w:eastAsia="仿宋_GB2312"/>
                <w:sz w:val="21"/>
                <w:szCs w:val="21"/>
              </w:rPr>
            </w:pPr>
            <w:r>
              <w:rPr>
                <w:rFonts w:eastAsia="仿宋_GB2312"/>
                <w:sz w:val="21"/>
                <w:szCs w:val="21"/>
              </w:rPr>
              <w:t>适用时，产品满足相关低碳产品要求。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47" w:line="320" w:lineRule="exact"/>
              <w:jc w:val="center"/>
              <w:rPr>
                <w:rFonts w:eastAsia="仿宋_GB2312"/>
                <w:sz w:val="21"/>
                <w:szCs w:val="21"/>
              </w:rPr>
            </w:pPr>
            <w:r>
              <w:rPr>
                <w:rFonts w:eastAsia="仿宋_GB2312"/>
                <w:sz w:val="21"/>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pStyle w:val="47"/>
              <w:overflowPunct w:val="0"/>
              <w:topLinePunct/>
              <w:spacing w:line="320" w:lineRule="exact"/>
              <w:jc w:val="center"/>
              <w:rPr>
                <w:rFonts w:eastAsia="仿宋_GB2312"/>
                <w:sz w:val="21"/>
                <w:szCs w:val="21"/>
              </w:rPr>
            </w:pPr>
            <w:r>
              <w:rPr>
                <w:rFonts w:eastAsia="仿宋_GB2312"/>
                <w:sz w:val="21"/>
                <w:szCs w:val="21"/>
              </w:rPr>
              <w:t>可回收利用率</w:t>
            </w:r>
          </w:p>
        </w:tc>
        <w:tc>
          <w:tcPr>
            <w:tcW w:w="2104" w:type="pct"/>
            <w:vAlign w:val="center"/>
          </w:tcPr>
          <w:p>
            <w:pPr>
              <w:pStyle w:val="47"/>
              <w:overflowPunct w:val="0"/>
              <w:topLinePunct/>
              <w:spacing w:line="320" w:lineRule="exact"/>
              <w:rPr>
                <w:rFonts w:eastAsia="仿宋_GB2312"/>
                <w:sz w:val="21"/>
                <w:szCs w:val="21"/>
              </w:rPr>
            </w:pPr>
            <w:r>
              <w:rPr>
                <w:rFonts w:eastAsia="仿宋_GB2312"/>
                <w:spacing w:val="3"/>
                <w:sz w:val="21"/>
                <w:szCs w:val="21"/>
              </w:rPr>
              <w:t>按照GB/T</w:t>
            </w:r>
            <w:r>
              <w:rPr>
                <w:rFonts w:eastAsia="仿宋_GB2312"/>
                <w:spacing w:val="10"/>
                <w:sz w:val="21"/>
                <w:szCs w:val="21"/>
              </w:rPr>
              <w:t xml:space="preserve"> </w:t>
            </w:r>
            <w:r>
              <w:rPr>
                <w:rFonts w:eastAsia="仿宋_GB2312"/>
                <w:spacing w:val="8"/>
                <w:sz w:val="21"/>
                <w:szCs w:val="21"/>
              </w:rPr>
              <w:t>20862的要求计算其产品的可回收</w:t>
            </w:r>
            <w:r>
              <w:rPr>
                <w:rFonts w:eastAsia="仿宋_GB2312"/>
                <w:sz w:val="21"/>
                <w:szCs w:val="21"/>
              </w:rPr>
              <w:t>利用率。</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restart"/>
            <w:vAlign w:val="center"/>
          </w:tcPr>
          <w:p>
            <w:pPr>
              <w:pStyle w:val="47"/>
              <w:overflowPunct w:val="0"/>
              <w:topLinePunct/>
              <w:spacing w:before="160"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利用计算结果对产品的可回收利用率进行改</w:t>
            </w:r>
            <w:r>
              <w:rPr>
                <w:rFonts w:eastAsia="仿宋_GB2312"/>
                <w:sz w:val="21"/>
                <w:szCs w:val="21"/>
              </w:rPr>
              <w:t>善。</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Merge w:val="continue"/>
            <w:vAlign w:val="center"/>
          </w:tcPr>
          <w:p>
            <w:pPr>
              <w:overflowPunct w:val="0"/>
              <w:topLinePunct/>
              <w:spacing w:line="320" w:lineRule="exact"/>
              <w:jc w:val="center"/>
              <w:rPr>
                <w:rFonts w:eastAsia="仿宋_GB2312"/>
                <w:szCs w:val="21"/>
              </w:rPr>
            </w:pPr>
          </w:p>
        </w:tc>
        <w:tc>
          <w:tcPr>
            <w:tcW w:w="305"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5</w:t>
            </w:r>
          </w:p>
        </w:tc>
        <w:tc>
          <w:tcPr>
            <w:tcW w:w="407" w:type="pct"/>
            <w:vMerge w:val="restart"/>
            <w:vAlign w:val="center"/>
          </w:tcPr>
          <w:p>
            <w:pPr>
              <w:overflowPunct w:val="0"/>
              <w:topLinePunct/>
              <w:spacing w:line="320" w:lineRule="exact"/>
              <w:jc w:val="center"/>
              <w:rPr>
                <w:rFonts w:eastAsia="仿宋_GB2312"/>
                <w:szCs w:val="21"/>
              </w:rPr>
            </w:pPr>
            <w:r>
              <w:rPr>
                <w:rFonts w:eastAsia="仿宋_GB2312"/>
                <w:w w:val="95"/>
                <w:szCs w:val="21"/>
              </w:rPr>
              <w:t>环境排</w:t>
            </w:r>
            <w:r>
              <w:rPr>
                <w:rFonts w:eastAsia="仿宋_GB2312"/>
                <w:szCs w:val="21"/>
              </w:rPr>
              <w:t>放</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大气污染物排放</w:t>
            </w: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工厂的大气污染物排放应符合相关国家标准、行业标准及地方标准要求</w:t>
            </w:r>
            <w:r>
              <w:rPr>
                <w:rFonts w:eastAsia="仿宋_GB2312"/>
                <w:spacing w:val="-56"/>
                <w:sz w:val="21"/>
                <w:szCs w:val="21"/>
              </w:rPr>
              <w:t>，</w:t>
            </w:r>
            <w:r>
              <w:rPr>
                <w:rFonts w:eastAsia="仿宋_GB2312"/>
                <w:sz w:val="21"/>
                <w:szCs w:val="21"/>
              </w:rPr>
              <w:t>并满足区域内排放总量控制要求。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15</w:t>
            </w:r>
          </w:p>
        </w:tc>
        <w:tc>
          <w:tcPr>
            <w:tcW w:w="255" w:type="pct"/>
            <w:vMerge w:val="restart"/>
            <w:vAlign w:val="center"/>
          </w:tcPr>
          <w:p>
            <w:pPr>
              <w:overflowPunct w:val="0"/>
              <w:topLinePunct/>
              <w:spacing w:line="320" w:lineRule="exact"/>
              <w:jc w:val="center"/>
              <w:rPr>
                <w:rFonts w:eastAsia="仿宋_GB2312"/>
                <w:szCs w:val="21"/>
              </w:rPr>
            </w:pPr>
            <w:r>
              <w:rPr>
                <w:rFonts w:eastAsia="仿宋_GB2312"/>
                <w:szCs w:val="21"/>
              </w:rPr>
              <w:t>10%</w:t>
            </w: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before="40" w:line="320" w:lineRule="exact"/>
              <w:ind w:right="100"/>
              <w:rPr>
                <w:rFonts w:eastAsia="仿宋_GB2312"/>
                <w:sz w:val="21"/>
                <w:szCs w:val="21"/>
              </w:rPr>
            </w:pPr>
            <w:r>
              <w:rPr>
                <w:rFonts w:eastAsia="仿宋_GB2312"/>
                <w:spacing w:val="9"/>
                <w:sz w:val="21"/>
                <w:szCs w:val="21"/>
              </w:rPr>
              <w:t>工厂的主要大气污染物排放满足标准中更高</w:t>
            </w:r>
            <w:r>
              <w:rPr>
                <w:rFonts w:eastAsia="仿宋_GB2312"/>
                <w:sz w:val="21"/>
                <w:szCs w:val="21"/>
              </w:rPr>
              <w:t>等级的要求。</w:t>
            </w:r>
          </w:p>
        </w:tc>
        <w:tc>
          <w:tcPr>
            <w:tcW w:w="592" w:type="pct"/>
            <w:vAlign w:val="center"/>
          </w:tcPr>
          <w:p>
            <w:pPr>
              <w:overflowPunct w:val="0"/>
              <w:topLinePunct/>
              <w:spacing w:line="320" w:lineRule="exact"/>
              <w:rPr>
                <w:rFonts w:eastAsia="仿宋_GB2312"/>
                <w:szCs w:val="21"/>
              </w:rPr>
            </w:pP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水体污染物排放</w:t>
            </w:r>
          </w:p>
        </w:tc>
        <w:tc>
          <w:tcPr>
            <w:tcW w:w="2104" w:type="pct"/>
            <w:vAlign w:val="center"/>
          </w:tcPr>
          <w:p>
            <w:pPr>
              <w:pStyle w:val="47"/>
              <w:overflowPunct w:val="0"/>
              <w:topLinePunct/>
              <w:spacing w:line="320" w:lineRule="exact"/>
              <w:ind w:left="102"/>
              <w:rPr>
                <w:rFonts w:eastAsia="仿宋_GB2312"/>
                <w:sz w:val="21"/>
                <w:szCs w:val="21"/>
              </w:rPr>
            </w:pPr>
            <w:r>
              <w:rPr>
                <w:rFonts w:eastAsia="仿宋_GB2312"/>
                <w:sz w:val="21"/>
                <w:szCs w:val="21"/>
              </w:rPr>
              <w:t>工厂的水体污染物排放应符合相关国家标准、</w:t>
            </w:r>
          </w:p>
          <w:p>
            <w:pPr>
              <w:overflowPunct w:val="0"/>
              <w:topLinePunct/>
              <w:spacing w:line="320" w:lineRule="exact"/>
              <w:rPr>
                <w:rFonts w:eastAsia="仿宋_GB2312"/>
                <w:szCs w:val="21"/>
              </w:rPr>
            </w:pPr>
            <w:r>
              <w:rPr>
                <w:rFonts w:eastAsia="仿宋_GB2312"/>
                <w:szCs w:val="21"/>
              </w:rPr>
              <w:t>行业标准及地方标准要求</w:t>
            </w:r>
            <w:r>
              <w:rPr>
                <w:rFonts w:eastAsia="仿宋_GB2312"/>
                <w:spacing w:val="-56"/>
                <w:szCs w:val="21"/>
              </w:rPr>
              <w:t>，</w:t>
            </w:r>
            <w:r>
              <w:rPr>
                <w:rFonts w:eastAsia="仿宋_GB2312"/>
                <w:szCs w:val="21"/>
              </w:rPr>
              <w:t>或在满足要求的前</w:t>
            </w:r>
            <w:r>
              <w:rPr>
                <w:rFonts w:eastAsia="仿宋_GB2312"/>
                <w:spacing w:val="9"/>
                <w:szCs w:val="21"/>
              </w:rPr>
              <w:t>提下委托具备相应能力和资质的处理厂进行</w:t>
            </w:r>
            <w:r>
              <w:rPr>
                <w:rFonts w:eastAsia="仿宋_GB2312"/>
                <w:szCs w:val="21"/>
              </w:rPr>
              <w:t>处理，并满足区域内排放总量控制要求。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overflowPunct w:val="0"/>
              <w:topLinePunct/>
              <w:spacing w:line="320" w:lineRule="exact"/>
              <w:jc w:val="center"/>
              <w:rPr>
                <w:rFonts w:eastAsia="仿宋_GB2312"/>
                <w:szCs w:val="21"/>
              </w:rPr>
            </w:pPr>
            <w:r>
              <w:rPr>
                <w:rFonts w:eastAsia="仿宋_GB2312"/>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15</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320" w:lineRule="exact"/>
              <w:rPr>
                <w:rFonts w:eastAsia="仿宋_GB2312"/>
                <w:szCs w:val="21"/>
              </w:rPr>
            </w:pPr>
            <w:r>
              <w:rPr>
                <w:rFonts w:eastAsia="仿宋_GB2312"/>
                <w:spacing w:val="9"/>
                <w:szCs w:val="21"/>
              </w:rPr>
              <w:t>工厂的主要水体污染物排放满足标准中更高</w:t>
            </w:r>
            <w:r>
              <w:rPr>
                <w:rFonts w:eastAsia="仿宋_GB2312"/>
                <w:szCs w:val="21"/>
              </w:rPr>
              <w:t>等级的要求。</w:t>
            </w:r>
          </w:p>
        </w:tc>
        <w:tc>
          <w:tcPr>
            <w:tcW w:w="592" w:type="pct"/>
            <w:vAlign w:val="center"/>
          </w:tcPr>
          <w:p>
            <w:pPr>
              <w:overflowPunct w:val="0"/>
              <w:topLinePunct/>
              <w:spacing w:line="320" w:lineRule="exact"/>
              <w:rPr>
                <w:rFonts w:eastAsia="仿宋_GB2312"/>
                <w:szCs w:val="21"/>
              </w:rPr>
            </w:pPr>
          </w:p>
        </w:tc>
        <w:tc>
          <w:tcPr>
            <w:tcW w:w="457" w:type="pct"/>
            <w:vAlign w:val="center"/>
          </w:tcPr>
          <w:p>
            <w:pPr>
              <w:overflowPunct w:val="0"/>
              <w:topLinePunct/>
              <w:spacing w:line="320" w:lineRule="exact"/>
              <w:jc w:val="center"/>
              <w:rPr>
                <w:rFonts w:eastAsia="仿宋_GB2312"/>
                <w:szCs w:val="21"/>
              </w:rPr>
            </w:pPr>
            <w:r>
              <w:rPr>
                <w:rFonts w:eastAsia="仿宋_GB2312"/>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Align w:val="center"/>
          </w:tcPr>
          <w:p>
            <w:pPr>
              <w:overflowPunct w:val="0"/>
              <w:topLinePunct/>
              <w:spacing w:line="320" w:lineRule="exact"/>
              <w:jc w:val="center"/>
              <w:rPr>
                <w:rFonts w:eastAsia="仿宋_GB2312"/>
                <w:szCs w:val="21"/>
              </w:rPr>
            </w:pPr>
            <w:r>
              <w:rPr>
                <w:rFonts w:eastAsia="仿宋_GB2312"/>
                <w:szCs w:val="21"/>
              </w:rPr>
              <w:t>固体废物排放</w:t>
            </w: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工</w:t>
            </w:r>
            <w:r>
              <w:rPr>
                <w:rFonts w:eastAsia="仿宋_GB2312"/>
                <w:spacing w:val="-90"/>
                <w:sz w:val="21"/>
                <w:szCs w:val="21"/>
              </w:rPr>
              <w:t xml:space="preserve"> </w:t>
            </w:r>
            <w:r>
              <w:rPr>
                <w:rFonts w:eastAsia="仿宋_GB2312"/>
                <w:sz w:val="21"/>
                <w:szCs w:val="21"/>
              </w:rPr>
              <w:t>厂</w:t>
            </w:r>
            <w:r>
              <w:rPr>
                <w:rFonts w:eastAsia="仿宋_GB2312"/>
                <w:spacing w:val="-87"/>
                <w:sz w:val="21"/>
                <w:szCs w:val="21"/>
              </w:rPr>
              <w:t xml:space="preserve"> </w:t>
            </w:r>
            <w:r>
              <w:rPr>
                <w:rFonts w:eastAsia="仿宋_GB2312"/>
                <w:sz w:val="21"/>
                <w:szCs w:val="21"/>
              </w:rPr>
              <w:t>产</w:t>
            </w:r>
            <w:r>
              <w:rPr>
                <w:rFonts w:eastAsia="仿宋_GB2312"/>
                <w:spacing w:val="-89"/>
                <w:sz w:val="21"/>
                <w:szCs w:val="21"/>
              </w:rPr>
              <w:t xml:space="preserve"> </w:t>
            </w:r>
            <w:r>
              <w:rPr>
                <w:rFonts w:eastAsia="仿宋_GB2312"/>
                <w:sz w:val="21"/>
                <w:szCs w:val="21"/>
              </w:rPr>
              <w:t>生</w:t>
            </w:r>
            <w:r>
              <w:rPr>
                <w:rFonts w:eastAsia="仿宋_GB2312"/>
                <w:spacing w:val="-89"/>
                <w:sz w:val="21"/>
                <w:szCs w:val="21"/>
              </w:rPr>
              <w:t xml:space="preserve"> </w:t>
            </w:r>
            <w:r>
              <w:rPr>
                <w:rFonts w:eastAsia="仿宋_GB2312"/>
                <w:sz w:val="21"/>
                <w:szCs w:val="21"/>
              </w:rPr>
              <w:t>的</w:t>
            </w:r>
            <w:r>
              <w:rPr>
                <w:rFonts w:eastAsia="仿宋_GB2312"/>
                <w:spacing w:val="-87"/>
                <w:sz w:val="21"/>
                <w:szCs w:val="21"/>
              </w:rPr>
              <w:t xml:space="preserve"> </w:t>
            </w:r>
            <w:r>
              <w:rPr>
                <w:rFonts w:eastAsia="仿宋_GB2312"/>
                <w:sz w:val="21"/>
                <w:szCs w:val="21"/>
              </w:rPr>
              <w:t>固</w:t>
            </w:r>
            <w:r>
              <w:rPr>
                <w:rFonts w:eastAsia="仿宋_GB2312"/>
                <w:spacing w:val="-89"/>
                <w:sz w:val="21"/>
                <w:szCs w:val="21"/>
              </w:rPr>
              <w:t xml:space="preserve"> </w:t>
            </w:r>
            <w:r>
              <w:rPr>
                <w:rFonts w:eastAsia="仿宋_GB2312"/>
                <w:sz w:val="21"/>
                <w:szCs w:val="21"/>
              </w:rPr>
              <w:t>体</w:t>
            </w:r>
            <w:r>
              <w:rPr>
                <w:rFonts w:eastAsia="仿宋_GB2312"/>
                <w:spacing w:val="-89"/>
                <w:sz w:val="21"/>
                <w:szCs w:val="21"/>
              </w:rPr>
              <w:t xml:space="preserve"> </w:t>
            </w:r>
            <w:r>
              <w:rPr>
                <w:rFonts w:eastAsia="仿宋_GB2312"/>
                <w:sz w:val="21"/>
                <w:szCs w:val="21"/>
              </w:rPr>
              <w:t>废</w:t>
            </w:r>
            <w:r>
              <w:rPr>
                <w:rFonts w:eastAsia="仿宋_GB2312"/>
                <w:spacing w:val="-89"/>
                <w:sz w:val="21"/>
                <w:szCs w:val="21"/>
              </w:rPr>
              <w:t xml:space="preserve"> </w:t>
            </w:r>
            <w:r>
              <w:rPr>
                <w:rFonts w:eastAsia="仿宋_GB2312"/>
                <w:sz w:val="21"/>
                <w:szCs w:val="21"/>
              </w:rPr>
              <w:t>弃</w:t>
            </w:r>
            <w:r>
              <w:rPr>
                <w:rFonts w:eastAsia="仿宋_GB2312"/>
                <w:spacing w:val="-87"/>
                <w:sz w:val="21"/>
                <w:szCs w:val="21"/>
              </w:rPr>
              <w:t xml:space="preserve"> </w:t>
            </w:r>
            <w:r>
              <w:rPr>
                <w:rFonts w:eastAsia="仿宋_GB2312"/>
                <w:sz w:val="21"/>
                <w:szCs w:val="21"/>
              </w:rPr>
              <w:t>物</w:t>
            </w:r>
            <w:r>
              <w:rPr>
                <w:rFonts w:eastAsia="仿宋_GB2312"/>
                <w:spacing w:val="-89"/>
                <w:sz w:val="21"/>
                <w:szCs w:val="21"/>
              </w:rPr>
              <w:t xml:space="preserve"> </w:t>
            </w:r>
            <w:r>
              <w:rPr>
                <w:rFonts w:eastAsia="仿宋_GB2312"/>
                <w:sz w:val="21"/>
                <w:szCs w:val="21"/>
              </w:rPr>
              <w:t>的</w:t>
            </w:r>
            <w:r>
              <w:rPr>
                <w:rFonts w:eastAsia="仿宋_GB2312"/>
                <w:spacing w:val="-89"/>
                <w:sz w:val="21"/>
                <w:szCs w:val="21"/>
              </w:rPr>
              <w:t xml:space="preserve"> </w:t>
            </w:r>
            <w:r>
              <w:rPr>
                <w:rFonts w:eastAsia="仿宋_GB2312"/>
                <w:sz w:val="21"/>
                <w:szCs w:val="21"/>
              </w:rPr>
              <w:t>处</w:t>
            </w:r>
            <w:r>
              <w:rPr>
                <w:rFonts w:eastAsia="仿宋_GB2312"/>
                <w:spacing w:val="-88"/>
                <w:sz w:val="21"/>
                <w:szCs w:val="21"/>
              </w:rPr>
              <w:t xml:space="preserve"> </w:t>
            </w:r>
            <w:r>
              <w:rPr>
                <w:rFonts w:eastAsia="仿宋_GB2312"/>
                <w:sz w:val="21"/>
                <w:szCs w:val="21"/>
              </w:rPr>
              <w:t>理</w:t>
            </w:r>
            <w:r>
              <w:rPr>
                <w:rFonts w:eastAsia="仿宋_GB2312"/>
                <w:spacing w:val="-89"/>
                <w:sz w:val="21"/>
                <w:szCs w:val="21"/>
              </w:rPr>
              <w:t xml:space="preserve"> </w:t>
            </w:r>
            <w:r>
              <w:rPr>
                <w:rFonts w:eastAsia="仿宋_GB2312"/>
                <w:sz w:val="21"/>
                <w:szCs w:val="21"/>
              </w:rPr>
              <w:t>应</w:t>
            </w:r>
            <w:r>
              <w:rPr>
                <w:rFonts w:eastAsia="仿宋_GB2312"/>
                <w:spacing w:val="-89"/>
                <w:sz w:val="21"/>
                <w:szCs w:val="21"/>
              </w:rPr>
              <w:t xml:space="preserve"> </w:t>
            </w:r>
            <w:r>
              <w:rPr>
                <w:rFonts w:eastAsia="仿宋_GB2312"/>
                <w:sz w:val="21"/>
                <w:szCs w:val="21"/>
              </w:rPr>
              <w:t>符</w:t>
            </w:r>
            <w:r>
              <w:rPr>
                <w:rFonts w:eastAsia="仿宋_GB2312"/>
                <w:spacing w:val="-87"/>
                <w:sz w:val="21"/>
                <w:szCs w:val="21"/>
              </w:rPr>
              <w:t xml:space="preserve"> </w:t>
            </w:r>
            <w:r>
              <w:rPr>
                <w:rFonts w:eastAsia="仿宋_GB2312"/>
                <w:sz w:val="21"/>
                <w:szCs w:val="21"/>
              </w:rPr>
              <w:t>合</w:t>
            </w:r>
            <w:r>
              <w:rPr>
                <w:rFonts w:eastAsia="仿宋_GB2312"/>
                <w:spacing w:val="-29"/>
                <w:sz w:val="21"/>
                <w:szCs w:val="21"/>
              </w:rPr>
              <w:t xml:space="preserve"> </w:t>
            </w:r>
            <w:r>
              <w:rPr>
                <w:rFonts w:eastAsia="仿宋_GB2312"/>
                <w:spacing w:val="-1"/>
                <w:sz w:val="21"/>
                <w:szCs w:val="21"/>
              </w:rPr>
              <w:t>GB</w:t>
            </w:r>
            <w:r>
              <w:rPr>
                <w:rFonts w:eastAsia="仿宋_GB2312"/>
                <w:sz w:val="21"/>
                <w:szCs w:val="21"/>
              </w:rPr>
              <w:t>18599 及相关标准的要求。工厂无法自行处理的</w:t>
            </w:r>
            <w:r>
              <w:rPr>
                <w:rFonts w:eastAsia="仿宋_GB2312"/>
                <w:spacing w:val="-56"/>
                <w:sz w:val="21"/>
                <w:szCs w:val="21"/>
              </w:rPr>
              <w:t>，</w:t>
            </w:r>
            <w:r>
              <w:rPr>
                <w:rFonts w:eastAsia="仿宋_GB2312"/>
                <w:sz w:val="21"/>
                <w:szCs w:val="21"/>
              </w:rPr>
              <w:t>应将固体废弃物转交给具备相应能力和资质的处理厂进行处理。</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Align w:val="center"/>
          </w:tcPr>
          <w:p>
            <w:pPr>
              <w:overflowPunct w:val="0"/>
              <w:topLinePunct/>
              <w:spacing w:line="320" w:lineRule="exact"/>
              <w:jc w:val="center"/>
              <w:rPr>
                <w:rFonts w:eastAsia="仿宋_GB2312"/>
                <w:szCs w:val="21"/>
              </w:rPr>
            </w:pPr>
            <w:r>
              <w:rPr>
                <w:rFonts w:eastAsia="仿宋_GB2312"/>
                <w:szCs w:val="21"/>
              </w:rPr>
              <w:t>噪声</w:t>
            </w:r>
          </w:p>
          <w:p>
            <w:pPr>
              <w:overflowPunct w:val="0"/>
              <w:topLinePunct/>
              <w:spacing w:line="320" w:lineRule="exact"/>
              <w:jc w:val="center"/>
              <w:rPr>
                <w:rFonts w:eastAsia="仿宋_GB2312"/>
                <w:szCs w:val="21"/>
              </w:rPr>
            </w:pPr>
            <w:r>
              <w:rPr>
                <w:rFonts w:eastAsia="仿宋_GB2312"/>
                <w:szCs w:val="21"/>
              </w:rPr>
              <w:t>排放</w:t>
            </w: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工厂的厂界环境噪声排放应符合相关国家标</w:t>
            </w:r>
            <w:r>
              <w:rPr>
                <w:rFonts w:eastAsia="仿宋_GB2312"/>
                <w:sz w:val="21"/>
                <w:szCs w:val="21"/>
              </w:rPr>
              <w:t>准、行业标准及地方标准要求。</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温室气体排放</w:t>
            </w: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工厂应采用</w:t>
            </w:r>
            <w:r>
              <w:rPr>
                <w:rFonts w:eastAsia="仿宋_GB2312"/>
                <w:spacing w:val="-60"/>
                <w:sz w:val="21"/>
                <w:szCs w:val="21"/>
              </w:rPr>
              <w:t xml:space="preserve"> </w:t>
            </w:r>
            <w:r>
              <w:rPr>
                <w:rFonts w:eastAsia="仿宋_GB2312"/>
                <w:spacing w:val="-1"/>
                <w:sz w:val="21"/>
                <w:szCs w:val="21"/>
              </w:rPr>
              <w:t>GB/T</w:t>
            </w:r>
            <w:r>
              <w:rPr>
                <w:rFonts w:eastAsia="仿宋_GB2312"/>
                <w:spacing w:val="6"/>
                <w:sz w:val="21"/>
                <w:szCs w:val="21"/>
              </w:rPr>
              <w:t xml:space="preserve"> </w:t>
            </w:r>
            <w:r>
              <w:rPr>
                <w:rFonts w:eastAsia="仿宋_GB2312"/>
                <w:sz w:val="21"/>
                <w:szCs w:val="21"/>
              </w:rPr>
              <w:t>32150</w:t>
            </w:r>
            <w:r>
              <w:rPr>
                <w:rFonts w:eastAsia="仿宋_GB2312"/>
                <w:spacing w:val="1"/>
                <w:sz w:val="21"/>
                <w:szCs w:val="21"/>
              </w:rPr>
              <w:t xml:space="preserve"> </w:t>
            </w:r>
            <w:r>
              <w:rPr>
                <w:rFonts w:eastAsia="仿宋_GB2312"/>
                <w:spacing w:val="2"/>
                <w:sz w:val="21"/>
                <w:szCs w:val="21"/>
              </w:rPr>
              <w:t>或适用的标准或规范</w:t>
            </w:r>
            <w:r>
              <w:rPr>
                <w:rFonts w:eastAsia="仿宋_GB2312"/>
                <w:spacing w:val="9"/>
                <w:sz w:val="21"/>
                <w:szCs w:val="21"/>
              </w:rPr>
              <w:t>对其厂界范围内的温室气体排放进行核算和</w:t>
            </w:r>
            <w:r>
              <w:rPr>
                <w:rFonts w:eastAsia="仿宋_GB2312"/>
                <w:sz w:val="21"/>
                <w:szCs w:val="21"/>
              </w:rPr>
              <w:t>报告。</w:t>
            </w:r>
          </w:p>
        </w:tc>
        <w:tc>
          <w:tcPr>
            <w:tcW w:w="592" w:type="pc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获得温室气体排放量第三方核查声明。</w:t>
            </w:r>
          </w:p>
        </w:tc>
        <w:tc>
          <w:tcPr>
            <w:tcW w:w="592" w:type="pc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10</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核查结果对外公布。</w:t>
            </w:r>
          </w:p>
        </w:tc>
        <w:tc>
          <w:tcPr>
            <w:tcW w:w="592" w:type="pc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z w:val="21"/>
                <w:szCs w:val="21"/>
              </w:rPr>
              <w:t>可行时</w:t>
            </w:r>
            <w:r>
              <w:rPr>
                <w:rFonts w:eastAsia="仿宋_GB2312"/>
                <w:spacing w:val="-56"/>
                <w:sz w:val="21"/>
                <w:szCs w:val="21"/>
              </w:rPr>
              <w:t>，</w:t>
            </w:r>
            <w:r>
              <w:rPr>
                <w:rFonts w:eastAsia="仿宋_GB2312"/>
                <w:sz w:val="21"/>
                <w:szCs w:val="21"/>
              </w:rPr>
              <w:t>利用核算或核查结果对其温室气体的排放进行改善。</w:t>
            </w:r>
          </w:p>
        </w:tc>
        <w:tc>
          <w:tcPr>
            <w:tcW w:w="592" w:type="pc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6</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绩效</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用地集约化</w:t>
            </w: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计算工厂容积率，指</w:t>
            </w:r>
            <w:r>
              <w:rPr>
                <w:rFonts w:eastAsia="仿宋_GB2312"/>
                <w:sz w:val="21"/>
                <w:szCs w:val="21"/>
              </w:rPr>
              <w:t>标应不低于《工业项目建设用地控制指标</w:t>
            </w:r>
            <w:r>
              <w:rPr>
                <w:rFonts w:eastAsia="仿宋_GB2312"/>
                <w:spacing w:val="-56"/>
                <w:sz w:val="21"/>
                <w:szCs w:val="21"/>
              </w:rPr>
              <w:t>》</w:t>
            </w:r>
            <w:r>
              <w:rPr>
                <w:rFonts w:eastAsia="仿宋_GB2312"/>
                <w:sz w:val="21"/>
                <w:szCs w:val="21"/>
              </w:rPr>
              <w:t>的要求。</w:t>
            </w:r>
          </w:p>
        </w:tc>
        <w:tc>
          <w:tcPr>
            <w:tcW w:w="592" w:type="pct"/>
            <w:vMerge w:val="restar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3</w:t>
            </w:r>
          </w:p>
        </w:tc>
        <w:tc>
          <w:tcPr>
            <w:tcW w:w="255" w:type="pct"/>
            <w:vMerge w:val="restart"/>
            <w:vAlign w:val="center"/>
          </w:tcPr>
          <w:p>
            <w:pPr>
              <w:overflowPunct w:val="0"/>
              <w:topLinePunct/>
              <w:spacing w:line="320" w:lineRule="exact"/>
              <w:jc w:val="center"/>
              <w:rPr>
                <w:rFonts w:eastAsia="仿宋_GB2312"/>
                <w:szCs w:val="21"/>
              </w:rPr>
            </w:pPr>
            <w:r>
              <w:rPr>
                <w:rFonts w:eastAsia="仿宋_GB2312"/>
                <w:szCs w:val="21"/>
              </w:rPr>
              <w:t>30%</w:t>
            </w: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计算工厂容积率，指</w:t>
            </w:r>
            <w:r>
              <w:rPr>
                <w:rFonts w:eastAsia="仿宋_GB2312"/>
                <w:sz w:val="21"/>
                <w:szCs w:val="21"/>
              </w:rPr>
              <w:t>标达</w:t>
            </w:r>
            <w:r>
              <w:rPr>
                <w:rFonts w:eastAsia="仿宋_GB2312"/>
                <w:spacing w:val="-29"/>
                <w:sz w:val="21"/>
                <w:szCs w:val="21"/>
              </w:rPr>
              <w:t>到</w:t>
            </w:r>
            <w:r>
              <w:rPr>
                <w:rFonts w:eastAsia="仿宋_GB2312"/>
                <w:sz w:val="21"/>
                <w:szCs w:val="21"/>
              </w:rPr>
              <w:t>《工业项目建设用地控制指标</w:t>
            </w:r>
            <w:r>
              <w:rPr>
                <w:rFonts w:eastAsia="仿宋_GB2312"/>
                <w:spacing w:val="-27"/>
                <w:sz w:val="21"/>
                <w:szCs w:val="21"/>
              </w:rPr>
              <w:t>》</w:t>
            </w:r>
            <w:r>
              <w:rPr>
                <w:rFonts w:eastAsia="仿宋_GB2312"/>
                <w:sz w:val="21"/>
                <w:szCs w:val="21"/>
              </w:rPr>
              <w:t>要求的 1.2</w:t>
            </w:r>
            <w:r>
              <w:rPr>
                <w:rFonts w:eastAsia="仿宋_GB2312"/>
                <w:spacing w:val="-60"/>
                <w:sz w:val="21"/>
                <w:szCs w:val="21"/>
              </w:rPr>
              <w:t xml:space="preserve"> </w:t>
            </w:r>
            <w:r>
              <w:rPr>
                <w:rFonts w:eastAsia="仿宋_GB2312"/>
                <w:sz w:val="21"/>
                <w:szCs w:val="21"/>
              </w:rPr>
              <w:t>倍及以上，2</w:t>
            </w:r>
            <w:r>
              <w:rPr>
                <w:rFonts w:eastAsia="仿宋_GB2312"/>
                <w:spacing w:val="-60"/>
                <w:sz w:val="21"/>
                <w:szCs w:val="21"/>
              </w:rPr>
              <w:t xml:space="preserve"> </w:t>
            </w:r>
            <w:r>
              <w:rPr>
                <w:rFonts w:eastAsia="仿宋_GB2312"/>
                <w:sz w:val="21"/>
                <w:szCs w:val="21"/>
              </w:rPr>
              <w:t>倍及以上为满分。</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2</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计算工厂建筑密度，</w:t>
            </w:r>
            <w:r>
              <w:rPr>
                <w:rFonts w:eastAsia="仿宋_GB2312"/>
                <w:sz w:val="21"/>
                <w:szCs w:val="21"/>
              </w:rPr>
              <w:t>建筑密度不低于</w:t>
            </w:r>
            <w:r>
              <w:rPr>
                <w:rFonts w:eastAsia="仿宋_GB2312"/>
                <w:spacing w:val="-60"/>
                <w:sz w:val="21"/>
                <w:szCs w:val="21"/>
              </w:rPr>
              <w:t xml:space="preserve"> </w:t>
            </w:r>
            <w:r>
              <w:rPr>
                <w:rFonts w:eastAsia="仿宋_GB2312"/>
                <w:sz w:val="21"/>
                <w:szCs w:val="21"/>
              </w:rPr>
              <w:t>30%</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计算工厂建筑密度，</w:t>
            </w:r>
            <w:r>
              <w:rPr>
                <w:rFonts w:eastAsia="仿宋_GB2312"/>
                <w:sz w:val="21"/>
                <w:szCs w:val="21"/>
              </w:rPr>
              <w:t>建筑密度达到</w:t>
            </w:r>
            <w:r>
              <w:rPr>
                <w:rFonts w:eastAsia="仿宋_GB2312"/>
                <w:spacing w:val="-60"/>
                <w:sz w:val="21"/>
                <w:szCs w:val="21"/>
              </w:rPr>
              <w:t xml:space="preserve"> </w:t>
            </w:r>
            <w:r>
              <w:rPr>
                <w:rFonts w:eastAsia="仿宋_GB2312"/>
                <w:sz w:val="21"/>
                <w:szCs w:val="21"/>
              </w:rPr>
              <w:t>40%。</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2</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9"/>
                <w:sz w:val="21"/>
                <w:szCs w:val="21"/>
              </w:rPr>
              <w:t>工厂的单位用地面积产能应不低于行业平均</w:t>
            </w:r>
            <w:r>
              <w:rPr>
                <w:rFonts w:eastAsia="仿宋_GB2312"/>
                <w:sz w:val="21"/>
                <w:szCs w:val="21"/>
              </w:rPr>
              <w:t>水平</w:t>
            </w:r>
            <w:r>
              <w:rPr>
                <w:rFonts w:eastAsia="仿宋_GB2312"/>
                <w:spacing w:val="-29"/>
                <w:sz w:val="21"/>
                <w:szCs w:val="21"/>
              </w:rPr>
              <w:t>；</w:t>
            </w:r>
            <w:r>
              <w:rPr>
                <w:rFonts w:eastAsia="仿宋_GB2312"/>
                <w:sz w:val="21"/>
                <w:szCs w:val="21"/>
              </w:rPr>
              <w:t>或</w:t>
            </w:r>
            <w:r>
              <w:rPr>
                <w:rFonts w:eastAsia="仿宋_GB2312"/>
                <w:spacing w:val="-27"/>
                <w:sz w:val="21"/>
                <w:szCs w:val="21"/>
              </w:rPr>
              <w:t>：</w:t>
            </w:r>
            <w:r>
              <w:rPr>
                <w:rFonts w:eastAsia="仿宋_GB2312"/>
                <w:sz w:val="21"/>
                <w:szCs w:val="21"/>
              </w:rPr>
              <w:t>工厂的单位用地面积产值不低于地方发布的单位用地面积产值的要求</w:t>
            </w:r>
            <w:r>
              <w:rPr>
                <w:rFonts w:eastAsia="仿宋_GB2312"/>
                <w:spacing w:val="-56"/>
                <w:sz w:val="21"/>
                <w:szCs w:val="21"/>
              </w:rPr>
              <w:t>；</w:t>
            </w:r>
            <w:r>
              <w:rPr>
                <w:rFonts w:eastAsia="仿宋_GB2312"/>
                <w:sz w:val="21"/>
                <w:szCs w:val="21"/>
              </w:rPr>
              <w:t>未发布单位用地面积产值的地区</w:t>
            </w:r>
            <w:r>
              <w:rPr>
                <w:rFonts w:eastAsia="仿宋_GB2312"/>
                <w:spacing w:val="-56"/>
                <w:sz w:val="21"/>
                <w:szCs w:val="21"/>
              </w:rPr>
              <w:t>，</w:t>
            </w:r>
            <w:r>
              <w:rPr>
                <w:rFonts w:eastAsia="仿宋_GB2312"/>
                <w:sz w:val="21"/>
                <w:szCs w:val="21"/>
              </w:rPr>
              <w:t>单位用地面积产值应 超过本年度所在省市的单位用地面积产值。</w:t>
            </w:r>
          </w:p>
        </w:tc>
        <w:tc>
          <w:tcPr>
            <w:tcW w:w="592" w:type="pct"/>
            <w:vMerge w:val="restar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2"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4"/>
                <w:sz w:val="21"/>
                <w:szCs w:val="21"/>
              </w:rPr>
              <w:t>工</w:t>
            </w:r>
            <w:r>
              <w:rPr>
                <w:rFonts w:eastAsia="仿宋_GB2312"/>
                <w:spacing w:val="26"/>
                <w:sz w:val="21"/>
                <w:szCs w:val="21"/>
              </w:rPr>
              <w:t>厂</w:t>
            </w:r>
            <w:r>
              <w:rPr>
                <w:rFonts w:eastAsia="仿宋_GB2312"/>
                <w:spacing w:val="24"/>
                <w:sz w:val="21"/>
                <w:szCs w:val="21"/>
              </w:rPr>
              <w:t>的</w:t>
            </w:r>
            <w:r>
              <w:rPr>
                <w:rFonts w:eastAsia="仿宋_GB2312"/>
                <w:spacing w:val="26"/>
                <w:sz w:val="21"/>
                <w:szCs w:val="21"/>
              </w:rPr>
              <w:t>单</w:t>
            </w:r>
            <w:r>
              <w:rPr>
                <w:rFonts w:eastAsia="仿宋_GB2312"/>
                <w:spacing w:val="24"/>
                <w:sz w:val="21"/>
                <w:szCs w:val="21"/>
              </w:rPr>
              <w:t>位用</w:t>
            </w:r>
            <w:r>
              <w:rPr>
                <w:rFonts w:eastAsia="仿宋_GB2312"/>
                <w:spacing w:val="26"/>
                <w:sz w:val="21"/>
                <w:szCs w:val="21"/>
              </w:rPr>
              <w:t>地</w:t>
            </w:r>
            <w:r>
              <w:rPr>
                <w:rFonts w:eastAsia="仿宋_GB2312"/>
                <w:spacing w:val="24"/>
                <w:sz w:val="21"/>
                <w:szCs w:val="21"/>
              </w:rPr>
              <w:t>面</w:t>
            </w:r>
            <w:r>
              <w:rPr>
                <w:rFonts w:eastAsia="仿宋_GB2312"/>
                <w:spacing w:val="26"/>
                <w:sz w:val="21"/>
                <w:szCs w:val="21"/>
              </w:rPr>
              <w:t>积</w:t>
            </w:r>
            <w:r>
              <w:rPr>
                <w:rFonts w:eastAsia="仿宋_GB2312"/>
                <w:spacing w:val="24"/>
                <w:sz w:val="21"/>
                <w:szCs w:val="21"/>
              </w:rPr>
              <w:t>产能</w:t>
            </w:r>
            <w:r>
              <w:rPr>
                <w:rFonts w:eastAsia="仿宋_GB2312"/>
                <w:spacing w:val="26"/>
                <w:sz w:val="21"/>
                <w:szCs w:val="21"/>
              </w:rPr>
              <w:t>指</w:t>
            </w:r>
            <w:r>
              <w:rPr>
                <w:rFonts w:eastAsia="仿宋_GB2312"/>
                <w:spacing w:val="24"/>
                <w:sz w:val="21"/>
                <w:szCs w:val="21"/>
              </w:rPr>
              <w:t>标优</w:t>
            </w:r>
            <w:r>
              <w:rPr>
                <w:rFonts w:eastAsia="仿宋_GB2312"/>
                <w:spacing w:val="26"/>
                <w:sz w:val="21"/>
                <w:szCs w:val="21"/>
              </w:rPr>
              <w:t>于</w:t>
            </w:r>
            <w:r>
              <w:rPr>
                <w:rFonts w:eastAsia="仿宋_GB2312"/>
                <w:spacing w:val="24"/>
                <w:sz w:val="21"/>
                <w:szCs w:val="21"/>
              </w:rPr>
              <w:t>行</w:t>
            </w:r>
            <w:r>
              <w:rPr>
                <w:rFonts w:eastAsia="仿宋_GB2312"/>
                <w:spacing w:val="26"/>
                <w:sz w:val="21"/>
                <w:szCs w:val="21"/>
              </w:rPr>
              <w:t>业</w:t>
            </w:r>
            <w:r>
              <w:rPr>
                <w:rFonts w:eastAsia="仿宋_GB2312"/>
                <w:sz w:val="21"/>
                <w:szCs w:val="21"/>
              </w:rPr>
              <w:t>前20%，前</w:t>
            </w:r>
            <w:r>
              <w:rPr>
                <w:rFonts w:eastAsia="仿宋_GB2312"/>
                <w:spacing w:val="-60"/>
                <w:sz w:val="21"/>
                <w:szCs w:val="21"/>
              </w:rPr>
              <w:t xml:space="preserve"> </w:t>
            </w:r>
            <w:r>
              <w:rPr>
                <w:rFonts w:eastAsia="仿宋_GB2312"/>
                <w:sz w:val="21"/>
                <w:szCs w:val="21"/>
              </w:rPr>
              <w:t>5%为满分；或：单位用地面积产值达到地方发布的单位用地面积产值的要求的</w:t>
            </w:r>
            <w:r>
              <w:rPr>
                <w:rFonts w:eastAsia="仿宋_GB2312"/>
                <w:spacing w:val="-60"/>
                <w:sz w:val="21"/>
                <w:szCs w:val="21"/>
              </w:rPr>
              <w:t xml:space="preserve"> </w:t>
            </w:r>
            <w:r>
              <w:rPr>
                <w:rFonts w:eastAsia="仿宋_GB2312"/>
                <w:sz w:val="21"/>
                <w:szCs w:val="21"/>
              </w:rPr>
              <w:t>1.2 倍及以上，2</w:t>
            </w:r>
            <w:r>
              <w:rPr>
                <w:rFonts w:eastAsia="仿宋_GB2312"/>
                <w:spacing w:val="-60"/>
                <w:sz w:val="21"/>
                <w:szCs w:val="21"/>
              </w:rPr>
              <w:t xml:space="preserve"> </w:t>
            </w:r>
            <w:r>
              <w:rPr>
                <w:rFonts w:eastAsia="仿宋_GB2312"/>
                <w:sz w:val="21"/>
                <w:szCs w:val="21"/>
              </w:rPr>
              <w:t>倍为满分；未发布单位用地面积产值的地区</w:t>
            </w:r>
            <w:r>
              <w:rPr>
                <w:rFonts w:eastAsia="仿宋_GB2312"/>
                <w:spacing w:val="-56"/>
                <w:sz w:val="21"/>
                <w:szCs w:val="21"/>
              </w:rPr>
              <w:t>，</w:t>
            </w:r>
            <w:r>
              <w:rPr>
                <w:rFonts w:eastAsia="仿宋_GB2312"/>
                <w:sz w:val="21"/>
                <w:szCs w:val="21"/>
              </w:rPr>
              <w:t>单位用地面积产值应达到本年度 所在省市的单位用地面积产值</w:t>
            </w:r>
            <w:r>
              <w:rPr>
                <w:rFonts w:eastAsia="仿宋_GB2312"/>
                <w:spacing w:val="-60"/>
                <w:sz w:val="21"/>
                <w:szCs w:val="21"/>
              </w:rPr>
              <w:t xml:space="preserve"> </w:t>
            </w:r>
            <w:r>
              <w:rPr>
                <w:rFonts w:eastAsia="仿宋_GB2312"/>
                <w:sz w:val="21"/>
                <w:szCs w:val="21"/>
              </w:rPr>
              <w:t>1.2</w:t>
            </w:r>
            <w:r>
              <w:rPr>
                <w:rFonts w:eastAsia="仿宋_GB2312"/>
                <w:spacing w:val="-60"/>
                <w:sz w:val="21"/>
                <w:szCs w:val="21"/>
              </w:rPr>
              <w:t xml:space="preserve"> </w:t>
            </w:r>
            <w:r>
              <w:rPr>
                <w:rFonts w:eastAsia="仿宋_GB2312"/>
                <w:sz w:val="21"/>
                <w:szCs w:val="21"/>
              </w:rPr>
              <w:t>倍及以上，2</w:t>
            </w:r>
            <w:r>
              <w:rPr>
                <w:rFonts w:eastAsia="仿宋_GB2312"/>
                <w:spacing w:val="-60"/>
                <w:sz w:val="21"/>
                <w:szCs w:val="21"/>
              </w:rPr>
              <w:t xml:space="preserve"> </w:t>
            </w:r>
            <w:r>
              <w:rPr>
                <w:rFonts w:eastAsia="仿宋_GB2312"/>
                <w:sz w:val="21"/>
                <w:szCs w:val="21"/>
              </w:rPr>
              <w:t>倍为满分。</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2</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原料无 害化</w:t>
            </w: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识别、统计和计算工</w:t>
            </w:r>
            <w:r>
              <w:rPr>
                <w:rFonts w:eastAsia="仿宋_GB2312"/>
                <w:sz w:val="21"/>
                <w:szCs w:val="21"/>
              </w:rPr>
              <w:t>厂的绿色物料使用情况。</w:t>
            </w:r>
          </w:p>
        </w:tc>
        <w:tc>
          <w:tcPr>
            <w:tcW w:w="592" w:type="pc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计算工厂主要物料的</w:t>
            </w:r>
            <w:r>
              <w:rPr>
                <w:rFonts w:eastAsia="仿宋_GB2312"/>
                <w:sz w:val="21"/>
                <w:szCs w:val="21"/>
              </w:rPr>
              <w:t>绿色物料使用率达</w:t>
            </w:r>
            <w:r>
              <w:rPr>
                <w:rFonts w:eastAsia="仿宋_GB2312"/>
                <w:spacing w:val="-60"/>
                <w:sz w:val="21"/>
                <w:szCs w:val="21"/>
              </w:rPr>
              <w:t xml:space="preserve"> </w:t>
            </w:r>
            <w:r>
              <w:rPr>
                <w:rFonts w:eastAsia="仿宋_GB2312"/>
                <w:sz w:val="21"/>
                <w:szCs w:val="21"/>
              </w:rPr>
              <w:t>30%及以上。</w:t>
            </w:r>
          </w:p>
        </w:tc>
        <w:tc>
          <w:tcPr>
            <w:tcW w:w="592" w:type="pc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6</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绩效</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生产洁净化</w:t>
            </w: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计算单位产品主要污</w:t>
            </w:r>
            <w:r>
              <w:rPr>
                <w:rFonts w:eastAsia="仿宋_GB2312"/>
                <w:spacing w:val="-3"/>
                <w:sz w:val="21"/>
                <w:szCs w:val="21"/>
              </w:rPr>
              <w:t>染物产生量（包括化学需氧量、氨氮、二氧化</w:t>
            </w:r>
            <w:r>
              <w:rPr>
                <w:rFonts w:eastAsia="仿宋_GB2312"/>
                <w:spacing w:val="22"/>
                <w:sz w:val="21"/>
                <w:szCs w:val="21"/>
              </w:rPr>
              <w:t xml:space="preserve"> </w:t>
            </w:r>
            <w:r>
              <w:rPr>
                <w:rFonts w:eastAsia="仿宋_GB2312"/>
                <w:spacing w:val="-3"/>
                <w:sz w:val="21"/>
                <w:szCs w:val="21"/>
              </w:rPr>
              <w:t>硫、氮氧化物等），指标应不高于行业平均水</w:t>
            </w:r>
            <w:r>
              <w:rPr>
                <w:rFonts w:eastAsia="仿宋_GB2312"/>
                <w:spacing w:val="23"/>
                <w:sz w:val="21"/>
                <w:szCs w:val="21"/>
              </w:rPr>
              <w:t xml:space="preserve"> </w:t>
            </w:r>
            <w:r>
              <w:rPr>
                <w:rFonts w:eastAsia="仿宋_GB2312"/>
                <w:sz w:val="21"/>
                <w:szCs w:val="21"/>
              </w:rPr>
              <w:t>平</w:t>
            </w:r>
            <w:r>
              <w:rPr>
                <w:rFonts w:eastAsia="仿宋_GB2312"/>
                <w:spacing w:val="-29"/>
                <w:sz w:val="21"/>
                <w:szCs w:val="21"/>
              </w:rPr>
              <w:t>。</w:t>
            </w:r>
            <w:r>
              <w:rPr>
                <w:rFonts w:eastAsia="仿宋_GB2312"/>
                <w:sz w:val="21"/>
                <w:szCs w:val="21"/>
              </w:rPr>
              <w:t>（装备</w:t>
            </w:r>
            <w:r>
              <w:rPr>
                <w:rFonts w:eastAsia="仿宋_GB2312"/>
                <w:spacing w:val="-12"/>
                <w:sz w:val="21"/>
                <w:szCs w:val="21"/>
              </w:rPr>
              <w:t>、</w:t>
            </w:r>
            <w:r>
              <w:rPr>
                <w:rFonts w:eastAsia="仿宋_GB2312"/>
                <w:sz w:val="21"/>
                <w:szCs w:val="21"/>
              </w:rPr>
              <w:t>电子</w:t>
            </w:r>
            <w:r>
              <w:rPr>
                <w:rFonts w:eastAsia="仿宋_GB2312"/>
                <w:spacing w:val="-15"/>
                <w:sz w:val="21"/>
                <w:szCs w:val="21"/>
              </w:rPr>
              <w:t>、</w:t>
            </w:r>
            <w:r>
              <w:rPr>
                <w:rFonts w:eastAsia="仿宋_GB2312"/>
                <w:sz w:val="21"/>
                <w:szCs w:val="21"/>
              </w:rPr>
              <w:t>电器等离散制造业可采用单位产值或单位工业增加值指标。）</w:t>
            </w:r>
          </w:p>
        </w:tc>
        <w:tc>
          <w:tcPr>
            <w:tcW w:w="592" w:type="pct"/>
            <w:vMerge w:val="restar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必选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3"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overflowPunct w:val="0"/>
              <w:topLinePunct/>
              <w:spacing w:line="320" w:lineRule="exact"/>
              <w:rPr>
                <w:rFonts w:eastAsia="仿宋_GB2312"/>
                <w:szCs w:val="21"/>
              </w:rPr>
            </w:pPr>
            <w:r>
              <w:rPr>
                <w:rFonts w:eastAsia="仿宋_GB2312"/>
                <w:spacing w:val="2"/>
                <w:szCs w:val="21"/>
              </w:rPr>
              <w:t>按照</w:t>
            </w:r>
            <w:r>
              <w:rPr>
                <w:rFonts w:eastAsia="仿宋_GB2312"/>
                <w:spacing w:val="-58"/>
                <w:szCs w:val="21"/>
              </w:rPr>
              <w:t xml:space="preserve"> </w:t>
            </w:r>
            <w:r>
              <w:rPr>
                <w:rFonts w:eastAsia="仿宋_GB2312"/>
                <w:szCs w:val="21"/>
              </w:rPr>
              <w:t>GB/T</w:t>
            </w:r>
            <w:r>
              <w:rPr>
                <w:rFonts w:eastAsia="仿宋_GB2312"/>
                <w:spacing w:val="4"/>
                <w:szCs w:val="21"/>
              </w:rPr>
              <w:t xml:space="preserve"> </w:t>
            </w:r>
            <w:r>
              <w:rPr>
                <w:rFonts w:eastAsia="仿宋_GB2312"/>
                <w:szCs w:val="21"/>
              </w:rPr>
              <w:t>36132</w:t>
            </w:r>
            <w:r>
              <w:rPr>
                <w:rFonts w:eastAsia="仿宋_GB2312"/>
                <w:spacing w:val="-56"/>
                <w:szCs w:val="21"/>
              </w:rPr>
              <w:t xml:space="preserve"> </w:t>
            </w:r>
            <w:r>
              <w:rPr>
                <w:rFonts w:eastAsia="仿宋_GB2312"/>
                <w:spacing w:val="2"/>
                <w:szCs w:val="21"/>
              </w:rPr>
              <w:t>附录</w:t>
            </w:r>
            <w:r>
              <w:rPr>
                <w:rFonts w:eastAsia="仿宋_GB2312"/>
                <w:spacing w:val="-56"/>
                <w:szCs w:val="21"/>
              </w:rPr>
              <w:t xml:space="preserve"> </w:t>
            </w:r>
            <w:r>
              <w:rPr>
                <w:rFonts w:eastAsia="仿宋_GB2312"/>
                <w:szCs w:val="21"/>
              </w:rPr>
              <w:t>A</w:t>
            </w:r>
            <w:r>
              <w:rPr>
                <w:rFonts w:eastAsia="仿宋_GB2312"/>
                <w:spacing w:val="-58"/>
                <w:szCs w:val="21"/>
              </w:rPr>
              <w:t xml:space="preserve"> </w:t>
            </w:r>
            <w:r>
              <w:rPr>
                <w:rFonts w:eastAsia="仿宋_GB2312"/>
                <w:spacing w:val="3"/>
                <w:szCs w:val="21"/>
              </w:rPr>
              <w:t>计算单位产品主要污</w:t>
            </w:r>
            <w:r>
              <w:rPr>
                <w:rFonts w:eastAsia="仿宋_GB2312"/>
                <w:spacing w:val="-3"/>
                <w:szCs w:val="21"/>
              </w:rPr>
              <w:t>染物产生量（包括化学需氧量、氨氮、二氧化</w:t>
            </w:r>
            <w:r>
              <w:rPr>
                <w:rFonts w:eastAsia="仿宋_GB2312"/>
                <w:szCs w:val="21"/>
              </w:rPr>
              <w:t>硫</w:t>
            </w:r>
            <w:r>
              <w:rPr>
                <w:rFonts w:eastAsia="仿宋_GB2312"/>
                <w:spacing w:val="-39"/>
                <w:szCs w:val="21"/>
              </w:rPr>
              <w:t>、</w:t>
            </w:r>
            <w:r>
              <w:rPr>
                <w:rFonts w:eastAsia="仿宋_GB2312"/>
                <w:szCs w:val="21"/>
              </w:rPr>
              <w:t>氮氧化物等</w:t>
            </w:r>
            <w:r>
              <w:rPr>
                <w:rFonts w:eastAsia="仿宋_GB2312"/>
                <w:spacing w:val="-39"/>
                <w:szCs w:val="21"/>
              </w:rPr>
              <w:t>），</w:t>
            </w:r>
            <w:r>
              <w:rPr>
                <w:rFonts w:eastAsia="仿宋_GB2312"/>
                <w:szCs w:val="21"/>
              </w:rPr>
              <w:t>指标优于行业前</w:t>
            </w:r>
            <w:r>
              <w:rPr>
                <w:rFonts w:eastAsia="仿宋_GB2312"/>
                <w:spacing w:val="-60"/>
                <w:szCs w:val="21"/>
              </w:rPr>
              <w:t xml:space="preserve"> </w:t>
            </w:r>
            <w:r>
              <w:rPr>
                <w:rFonts w:eastAsia="仿宋_GB2312"/>
                <w:szCs w:val="21"/>
              </w:rPr>
              <w:t>20%水平。（装备</w:t>
            </w:r>
            <w:r>
              <w:rPr>
                <w:rFonts w:eastAsia="仿宋_GB2312"/>
                <w:spacing w:val="-29"/>
                <w:szCs w:val="21"/>
              </w:rPr>
              <w:t>、</w:t>
            </w:r>
            <w:r>
              <w:rPr>
                <w:rFonts w:eastAsia="仿宋_GB2312"/>
                <w:szCs w:val="21"/>
              </w:rPr>
              <w:t>电子</w:t>
            </w:r>
            <w:r>
              <w:rPr>
                <w:rFonts w:eastAsia="仿宋_GB2312"/>
                <w:spacing w:val="-27"/>
                <w:szCs w:val="21"/>
              </w:rPr>
              <w:t>、</w:t>
            </w:r>
            <w:r>
              <w:rPr>
                <w:rFonts w:eastAsia="仿宋_GB2312"/>
                <w:szCs w:val="21"/>
              </w:rPr>
              <w:t>电器等离散制造业可采用单位 产值或单位工业增加值指标。）前</w:t>
            </w:r>
            <w:r>
              <w:rPr>
                <w:rFonts w:eastAsia="仿宋_GB2312"/>
                <w:spacing w:val="-60"/>
                <w:szCs w:val="21"/>
              </w:rPr>
              <w:t xml:space="preserve"> </w:t>
            </w:r>
            <w:r>
              <w:rPr>
                <w:rFonts w:eastAsia="仿宋_GB2312"/>
                <w:szCs w:val="21"/>
              </w:rPr>
              <w:t>5%为满分。</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可选</w:t>
            </w:r>
          </w:p>
        </w:tc>
        <w:tc>
          <w:tcPr>
            <w:tcW w:w="305" w:type="pct"/>
            <w:vAlign w:val="center"/>
          </w:tcPr>
          <w:p>
            <w:pPr>
              <w:overflowPunct w:val="0"/>
              <w:topLinePunct/>
              <w:spacing w:line="320" w:lineRule="exact"/>
              <w:jc w:val="center"/>
              <w:rPr>
                <w:rFonts w:eastAsia="仿宋_GB2312"/>
                <w:szCs w:val="21"/>
              </w:rPr>
            </w:pPr>
            <w:r>
              <w:rPr>
                <w:rFonts w:eastAsia="仿宋_GB2312"/>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计算单位产品废气产</w:t>
            </w:r>
            <w:r>
              <w:rPr>
                <w:rFonts w:eastAsia="仿宋_GB2312"/>
                <w:sz w:val="21"/>
                <w:szCs w:val="21"/>
              </w:rPr>
              <w:t>生量，指标应不高于行业平均水平。（装备、电子</w:t>
            </w:r>
            <w:r>
              <w:rPr>
                <w:rFonts w:eastAsia="仿宋_GB2312"/>
                <w:spacing w:val="-56"/>
                <w:sz w:val="21"/>
                <w:szCs w:val="21"/>
              </w:rPr>
              <w:t>、</w:t>
            </w:r>
            <w:r>
              <w:rPr>
                <w:rFonts w:eastAsia="仿宋_GB2312"/>
                <w:sz w:val="21"/>
                <w:szCs w:val="21"/>
              </w:rPr>
              <w:t>电器等离散制造业可采用单位产值或单 位工业增加值指标。）</w:t>
            </w:r>
          </w:p>
        </w:tc>
        <w:tc>
          <w:tcPr>
            <w:tcW w:w="592" w:type="pct"/>
            <w:vMerge w:val="restar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5"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计算单位产品废气产</w:t>
            </w:r>
            <w:r>
              <w:rPr>
                <w:rFonts w:eastAsia="仿宋_GB2312"/>
                <w:sz w:val="21"/>
                <w:szCs w:val="21"/>
              </w:rPr>
              <w:t>生量，指标优于行业前</w:t>
            </w:r>
            <w:r>
              <w:rPr>
                <w:rFonts w:eastAsia="仿宋_GB2312"/>
                <w:spacing w:val="-60"/>
                <w:sz w:val="21"/>
                <w:szCs w:val="21"/>
              </w:rPr>
              <w:t xml:space="preserve"> </w:t>
            </w:r>
            <w:r>
              <w:rPr>
                <w:rFonts w:eastAsia="仿宋_GB2312"/>
                <w:sz w:val="21"/>
                <w:szCs w:val="21"/>
              </w:rPr>
              <w:t>20%水平。（装备、电</w:t>
            </w:r>
            <w:r>
              <w:rPr>
                <w:rFonts w:eastAsia="仿宋_GB2312"/>
                <w:spacing w:val="24"/>
                <w:sz w:val="21"/>
                <w:szCs w:val="21"/>
              </w:rPr>
              <w:t xml:space="preserve"> </w:t>
            </w:r>
            <w:r>
              <w:rPr>
                <w:rFonts w:eastAsia="仿宋_GB2312"/>
                <w:sz w:val="21"/>
                <w:szCs w:val="21"/>
              </w:rPr>
              <w:t>子</w:t>
            </w:r>
            <w:r>
              <w:rPr>
                <w:rFonts w:eastAsia="仿宋_GB2312"/>
                <w:spacing w:val="-56"/>
                <w:sz w:val="21"/>
                <w:szCs w:val="21"/>
              </w:rPr>
              <w:t>、</w:t>
            </w:r>
            <w:r>
              <w:rPr>
                <w:rFonts w:eastAsia="仿宋_GB2312"/>
                <w:sz w:val="21"/>
                <w:szCs w:val="21"/>
              </w:rPr>
              <w:t>电器等离散制造业可采用单位产值或单位 工业增加值指标。）前</w:t>
            </w:r>
            <w:r>
              <w:rPr>
                <w:rFonts w:eastAsia="仿宋_GB2312"/>
                <w:spacing w:val="-60"/>
                <w:sz w:val="21"/>
                <w:szCs w:val="21"/>
              </w:rPr>
              <w:t xml:space="preserve"> </w:t>
            </w:r>
            <w:r>
              <w:rPr>
                <w:rFonts w:eastAsia="仿宋_GB2312"/>
                <w:sz w:val="21"/>
                <w:szCs w:val="21"/>
              </w:rPr>
              <w:t>5%为满分。</w:t>
            </w:r>
          </w:p>
        </w:tc>
        <w:tc>
          <w:tcPr>
            <w:tcW w:w="592" w:type="pct"/>
            <w:vMerge w:val="continue"/>
            <w:vAlign w:val="center"/>
          </w:tcPr>
          <w:p>
            <w:pPr>
              <w:pStyle w:val="47"/>
              <w:overflowPunct w:val="0"/>
              <w:topLinePunct/>
              <w:spacing w:before="29" w:line="320" w:lineRule="exact"/>
              <w:ind w:left="102" w:right="100"/>
              <w:rPr>
                <w:rFonts w:eastAsia="仿宋_GB2312"/>
                <w:sz w:val="21"/>
                <w:szCs w:val="21"/>
              </w:rPr>
            </w:pPr>
          </w:p>
        </w:tc>
        <w:tc>
          <w:tcPr>
            <w:tcW w:w="457" w:type="pct"/>
            <w:vAlign w:val="center"/>
          </w:tcPr>
          <w:p>
            <w:pPr>
              <w:pStyle w:val="47"/>
              <w:overflowPunct w:val="0"/>
              <w:topLinePunct/>
              <w:spacing w:before="156"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56"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计算单位产品废水产</w:t>
            </w:r>
            <w:r>
              <w:rPr>
                <w:rFonts w:eastAsia="仿宋_GB2312"/>
                <w:sz w:val="21"/>
                <w:szCs w:val="21"/>
              </w:rPr>
              <w:t>生量，指标应不高于行业平均水平。（装备、电子</w:t>
            </w:r>
            <w:r>
              <w:rPr>
                <w:rFonts w:eastAsia="仿宋_GB2312"/>
                <w:spacing w:val="-56"/>
                <w:sz w:val="21"/>
                <w:szCs w:val="21"/>
              </w:rPr>
              <w:t>、</w:t>
            </w:r>
            <w:r>
              <w:rPr>
                <w:rFonts w:eastAsia="仿宋_GB2312"/>
                <w:sz w:val="21"/>
                <w:szCs w:val="21"/>
              </w:rPr>
              <w:t>电器等离散制造业可采用单位产值或单位工业增加值指标。）</w:t>
            </w:r>
          </w:p>
        </w:tc>
        <w:tc>
          <w:tcPr>
            <w:tcW w:w="592" w:type="pct"/>
            <w:vMerge w:val="restart"/>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55"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before="155"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32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计算单位产品废水产</w:t>
            </w:r>
            <w:r>
              <w:rPr>
                <w:rFonts w:eastAsia="仿宋_GB2312"/>
                <w:sz w:val="21"/>
                <w:szCs w:val="21"/>
              </w:rPr>
              <w:t>生量，指标优于行业前</w:t>
            </w:r>
            <w:r>
              <w:rPr>
                <w:rFonts w:eastAsia="仿宋_GB2312"/>
                <w:spacing w:val="-60"/>
                <w:sz w:val="21"/>
                <w:szCs w:val="21"/>
              </w:rPr>
              <w:t xml:space="preserve"> </w:t>
            </w:r>
            <w:r>
              <w:rPr>
                <w:rFonts w:eastAsia="仿宋_GB2312"/>
                <w:sz w:val="21"/>
                <w:szCs w:val="21"/>
              </w:rPr>
              <w:t>20%水平。（装备、电子</w:t>
            </w:r>
            <w:r>
              <w:rPr>
                <w:rFonts w:eastAsia="仿宋_GB2312"/>
                <w:spacing w:val="-56"/>
                <w:sz w:val="21"/>
                <w:szCs w:val="21"/>
              </w:rPr>
              <w:t>、</w:t>
            </w:r>
            <w:r>
              <w:rPr>
                <w:rFonts w:eastAsia="仿宋_GB2312"/>
                <w:sz w:val="21"/>
                <w:szCs w:val="21"/>
              </w:rPr>
              <w:t>电器等离散制造业可采用单位产值或单位工业增加值指标。）前</w:t>
            </w:r>
            <w:r>
              <w:rPr>
                <w:rFonts w:eastAsia="仿宋_GB2312"/>
                <w:spacing w:val="-60"/>
                <w:sz w:val="21"/>
                <w:szCs w:val="21"/>
              </w:rPr>
              <w:t xml:space="preserve"> </w:t>
            </w:r>
            <w:r>
              <w:rPr>
                <w:rFonts w:eastAsia="仿宋_GB2312"/>
                <w:sz w:val="21"/>
                <w:szCs w:val="21"/>
              </w:rPr>
              <w:t>5%为满分。</w:t>
            </w:r>
          </w:p>
        </w:tc>
        <w:tc>
          <w:tcPr>
            <w:tcW w:w="592" w:type="pct"/>
            <w:vMerge w:val="continue"/>
            <w:vAlign w:val="center"/>
          </w:tcPr>
          <w:p>
            <w:pPr>
              <w:pStyle w:val="47"/>
              <w:overflowPunct w:val="0"/>
              <w:topLinePunct/>
              <w:spacing w:before="29" w:line="320" w:lineRule="exact"/>
              <w:ind w:left="102" w:right="100"/>
              <w:rPr>
                <w:rFonts w:eastAsia="仿宋_GB2312"/>
                <w:sz w:val="21"/>
                <w:szCs w:val="21"/>
              </w:rPr>
            </w:pPr>
          </w:p>
        </w:tc>
        <w:tc>
          <w:tcPr>
            <w:tcW w:w="457" w:type="pct"/>
            <w:vAlign w:val="center"/>
          </w:tcPr>
          <w:p>
            <w:pPr>
              <w:pStyle w:val="47"/>
              <w:overflowPunct w:val="0"/>
              <w:topLinePunct/>
              <w:spacing w:before="155"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55"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52" w:type="pct"/>
            <w:vMerge w:val="restart"/>
            <w:vAlign w:val="center"/>
          </w:tcPr>
          <w:p>
            <w:pPr>
              <w:overflowPunct w:val="0"/>
              <w:topLinePunct/>
              <w:spacing w:line="320" w:lineRule="exact"/>
              <w:jc w:val="center"/>
              <w:rPr>
                <w:rFonts w:eastAsia="仿宋_GB2312"/>
                <w:szCs w:val="21"/>
              </w:rPr>
            </w:pPr>
            <w:r>
              <w:rPr>
                <w:rFonts w:eastAsia="仿宋_GB2312"/>
                <w:szCs w:val="21"/>
              </w:rPr>
              <w:t>6</w:t>
            </w:r>
          </w:p>
        </w:tc>
        <w:tc>
          <w:tcPr>
            <w:tcW w:w="407" w:type="pct"/>
            <w:vMerge w:val="restart"/>
            <w:vAlign w:val="center"/>
          </w:tcPr>
          <w:p>
            <w:pPr>
              <w:overflowPunct w:val="0"/>
              <w:topLinePunct/>
              <w:spacing w:line="320" w:lineRule="exact"/>
              <w:jc w:val="center"/>
              <w:rPr>
                <w:rFonts w:eastAsia="仿宋_GB2312"/>
                <w:szCs w:val="21"/>
              </w:rPr>
            </w:pPr>
            <w:r>
              <w:rPr>
                <w:rFonts w:eastAsia="仿宋_GB2312"/>
                <w:szCs w:val="21"/>
              </w:rPr>
              <w:t>绩效</w:t>
            </w: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废物资源化</w:t>
            </w:r>
          </w:p>
        </w:tc>
        <w:tc>
          <w:tcPr>
            <w:tcW w:w="2104" w:type="pct"/>
            <w:vAlign w:val="center"/>
          </w:tcPr>
          <w:p>
            <w:pPr>
              <w:pStyle w:val="47"/>
              <w:overflowPunct w:val="0"/>
              <w:topLinePunct/>
              <w:spacing w:line="26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计算单位产品主要原</w:t>
            </w:r>
            <w:r>
              <w:rPr>
                <w:rFonts w:eastAsia="仿宋_GB2312"/>
                <w:sz w:val="21"/>
                <w:szCs w:val="21"/>
              </w:rPr>
              <w:t>材料消耗量，指标应不高于行业平均水平。</w:t>
            </w:r>
          </w:p>
        </w:tc>
        <w:tc>
          <w:tcPr>
            <w:tcW w:w="592" w:type="pct"/>
            <w:vMerge w:val="restar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before="118"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26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计算单位产品主要原</w:t>
            </w:r>
            <w:r>
              <w:rPr>
                <w:rFonts w:eastAsia="仿宋_GB2312"/>
                <w:sz w:val="21"/>
                <w:szCs w:val="21"/>
              </w:rPr>
              <w:t>材料消耗量</w:t>
            </w:r>
            <w:r>
              <w:rPr>
                <w:rFonts w:eastAsia="仿宋_GB2312"/>
                <w:spacing w:val="-29"/>
                <w:sz w:val="21"/>
                <w:szCs w:val="21"/>
              </w:rPr>
              <w:t>，</w:t>
            </w:r>
            <w:r>
              <w:rPr>
                <w:rFonts w:eastAsia="仿宋_GB2312"/>
                <w:sz w:val="21"/>
                <w:szCs w:val="21"/>
              </w:rPr>
              <w:t>指标优于行业前</w:t>
            </w:r>
            <w:r>
              <w:rPr>
                <w:rFonts w:eastAsia="仿宋_GB2312"/>
                <w:spacing w:val="-60"/>
                <w:sz w:val="21"/>
                <w:szCs w:val="21"/>
              </w:rPr>
              <w:t xml:space="preserve"> </w:t>
            </w:r>
            <w:r>
              <w:rPr>
                <w:rFonts w:eastAsia="仿宋_GB2312"/>
                <w:sz w:val="21"/>
                <w:szCs w:val="21"/>
              </w:rPr>
              <w:t>20%水平</w:t>
            </w:r>
            <w:r>
              <w:rPr>
                <w:rFonts w:eastAsia="仿宋_GB2312"/>
                <w:spacing w:val="-27"/>
                <w:sz w:val="21"/>
                <w:szCs w:val="21"/>
              </w:rPr>
              <w:t>，</w:t>
            </w:r>
            <w:r>
              <w:rPr>
                <w:rFonts w:eastAsia="仿宋_GB2312"/>
                <w:sz w:val="21"/>
                <w:szCs w:val="21"/>
              </w:rPr>
              <w:t>前</w:t>
            </w:r>
            <w:r>
              <w:rPr>
                <w:rFonts w:eastAsia="仿宋_GB2312"/>
                <w:spacing w:val="-60"/>
                <w:sz w:val="21"/>
                <w:szCs w:val="21"/>
              </w:rPr>
              <w:t xml:space="preserve"> </w:t>
            </w:r>
            <w:r>
              <w:rPr>
                <w:rFonts w:eastAsia="仿宋_GB2312"/>
                <w:sz w:val="21"/>
                <w:szCs w:val="21"/>
              </w:rPr>
              <w:t>5%为满分。</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26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计算工业固体废物综</w:t>
            </w:r>
            <w:r>
              <w:rPr>
                <w:rFonts w:eastAsia="仿宋_GB2312"/>
                <w:sz w:val="21"/>
                <w:szCs w:val="21"/>
              </w:rPr>
              <w:t>合利用率，指标应大于</w:t>
            </w:r>
            <w:r>
              <w:rPr>
                <w:rFonts w:eastAsia="仿宋_GB2312"/>
                <w:spacing w:val="-60"/>
                <w:sz w:val="21"/>
                <w:szCs w:val="21"/>
              </w:rPr>
              <w:t xml:space="preserve"> </w:t>
            </w:r>
            <w:r>
              <w:rPr>
                <w:rFonts w:eastAsia="仿宋_GB2312"/>
                <w:sz w:val="21"/>
                <w:szCs w:val="21"/>
              </w:rPr>
              <w:t>65%（根据行业特点,该指标可在±20%之间选取）。</w:t>
            </w:r>
          </w:p>
        </w:tc>
        <w:tc>
          <w:tcPr>
            <w:tcW w:w="592" w:type="pct"/>
            <w:vMerge w:val="restar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260" w:lineRule="exact"/>
              <w:rPr>
                <w:rFonts w:eastAsia="仿宋_GB2312"/>
                <w:sz w:val="21"/>
                <w:szCs w:val="21"/>
              </w:rPr>
            </w:pPr>
            <w:r>
              <w:rPr>
                <w:rFonts w:eastAsia="仿宋_GB2312"/>
                <w:sz w:val="21"/>
                <w:szCs w:val="21"/>
              </w:rPr>
              <w:t>按照 GB/T 36132 附录 A 计算工业固体废物综合利用率，指标达到 73%（根据行业特点，该指标可在±20%之间选取），90%为满分。</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260" w:lineRule="exact"/>
              <w:ind w:right="-18"/>
              <w:rPr>
                <w:rFonts w:eastAsia="仿宋_GB2312"/>
                <w:sz w:val="21"/>
                <w:szCs w:val="21"/>
              </w:rPr>
            </w:pPr>
            <w:r>
              <w:rPr>
                <w:rFonts w:eastAsia="仿宋_GB2312"/>
                <w:sz w:val="21"/>
                <w:szCs w:val="21"/>
              </w:rPr>
              <w:t>按照 GB/T 36132 附录 A 计算废水处理回用率，指标高于行业平均值。</w:t>
            </w:r>
          </w:p>
        </w:tc>
        <w:tc>
          <w:tcPr>
            <w:tcW w:w="592" w:type="pct"/>
            <w:vMerge w:val="restar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continue"/>
            <w:vAlign w:val="center"/>
          </w:tcPr>
          <w:p>
            <w:pPr>
              <w:overflowPunct w:val="0"/>
              <w:topLinePunct/>
              <w:spacing w:line="320" w:lineRule="exact"/>
              <w:jc w:val="center"/>
              <w:rPr>
                <w:rFonts w:eastAsia="仿宋_GB2312"/>
                <w:szCs w:val="21"/>
              </w:rPr>
            </w:pPr>
          </w:p>
        </w:tc>
        <w:tc>
          <w:tcPr>
            <w:tcW w:w="2104" w:type="pct"/>
            <w:vAlign w:val="center"/>
          </w:tcPr>
          <w:p>
            <w:pPr>
              <w:pStyle w:val="47"/>
              <w:overflowPunct w:val="0"/>
              <w:topLinePunct/>
              <w:spacing w:line="260" w:lineRule="exact"/>
              <w:ind w:right="-18"/>
              <w:rPr>
                <w:rFonts w:eastAsia="仿宋_GB2312"/>
                <w:sz w:val="21"/>
                <w:szCs w:val="21"/>
              </w:rPr>
            </w:pPr>
            <w:r>
              <w:rPr>
                <w:rFonts w:eastAsia="仿宋_GB2312"/>
                <w:sz w:val="21"/>
                <w:szCs w:val="21"/>
              </w:rPr>
              <w:t>按照</w:t>
            </w:r>
            <w:r>
              <w:rPr>
                <w:rFonts w:eastAsia="仿宋_GB2312"/>
                <w:spacing w:val="-60"/>
                <w:sz w:val="21"/>
                <w:szCs w:val="21"/>
              </w:rPr>
              <w:t xml:space="preserve"> </w:t>
            </w:r>
            <w:r>
              <w:rPr>
                <w:rFonts w:eastAsia="仿宋_GB2312"/>
                <w:sz w:val="21"/>
                <w:szCs w:val="21"/>
              </w:rPr>
              <w:t>GB/T</w:t>
            </w:r>
            <w:r>
              <w:rPr>
                <w:rFonts w:eastAsia="仿宋_GB2312"/>
                <w:spacing w:val="-56"/>
                <w:sz w:val="21"/>
                <w:szCs w:val="21"/>
              </w:rPr>
              <w:t xml:space="preserve"> </w:t>
            </w:r>
            <w:r>
              <w:rPr>
                <w:rFonts w:eastAsia="仿宋_GB2312"/>
                <w:sz w:val="21"/>
                <w:szCs w:val="21"/>
              </w:rPr>
              <w:t>36132</w:t>
            </w:r>
            <w:r>
              <w:rPr>
                <w:rFonts w:eastAsia="仿宋_GB2312"/>
                <w:spacing w:val="-60"/>
                <w:sz w:val="21"/>
                <w:szCs w:val="21"/>
              </w:rPr>
              <w:t xml:space="preserve"> </w:t>
            </w:r>
            <w:r>
              <w:rPr>
                <w:rFonts w:eastAsia="仿宋_GB2312"/>
                <w:sz w:val="21"/>
                <w:szCs w:val="21"/>
              </w:rPr>
              <w:t>附录</w:t>
            </w:r>
            <w:r>
              <w:rPr>
                <w:rFonts w:eastAsia="仿宋_GB2312"/>
                <w:spacing w:val="-60"/>
                <w:sz w:val="21"/>
                <w:szCs w:val="21"/>
              </w:rPr>
              <w:t xml:space="preserve"> </w:t>
            </w:r>
            <w:r>
              <w:rPr>
                <w:rFonts w:eastAsia="仿宋_GB2312"/>
                <w:sz w:val="21"/>
                <w:szCs w:val="21"/>
              </w:rPr>
              <w:t>A</w:t>
            </w:r>
            <w:r>
              <w:rPr>
                <w:rFonts w:eastAsia="仿宋_GB2312"/>
                <w:spacing w:val="-60"/>
                <w:sz w:val="21"/>
                <w:szCs w:val="21"/>
              </w:rPr>
              <w:t xml:space="preserve"> </w:t>
            </w:r>
            <w:r>
              <w:rPr>
                <w:rFonts w:eastAsia="仿宋_GB2312"/>
                <w:sz w:val="21"/>
                <w:szCs w:val="21"/>
              </w:rPr>
              <w:t>计算废水处理回用率，指标优于行业前</w:t>
            </w:r>
            <w:r>
              <w:rPr>
                <w:rFonts w:eastAsia="仿宋_GB2312"/>
                <w:spacing w:val="-60"/>
                <w:sz w:val="21"/>
                <w:szCs w:val="21"/>
              </w:rPr>
              <w:t xml:space="preserve"> </w:t>
            </w:r>
            <w:r>
              <w:rPr>
                <w:rFonts w:eastAsia="仿宋_GB2312"/>
                <w:sz w:val="21"/>
                <w:szCs w:val="21"/>
              </w:rPr>
              <w:t>20%水平，前</w:t>
            </w:r>
            <w:r>
              <w:rPr>
                <w:rFonts w:eastAsia="仿宋_GB2312"/>
                <w:spacing w:val="-60"/>
                <w:sz w:val="21"/>
                <w:szCs w:val="21"/>
              </w:rPr>
              <w:t xml:space="preserve"> </w:t>
            </w:r>
            <w:r>
              <w:rPr>
                <w:rFonts w:eastAsia="仿宋_GB2312"/>
                <w:sz w:val="21"/>
                <w:szCs w:val="21"/>
              </w:rPr>
              <w:t>5%为满分。</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19"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52" w:type="pct"/>
            <w:vMerge w:val="continue"/>
            <w:vAlign w:val="center"/>
          </w:tcPr>
          <w:p>
            <w:pPr>
              <w:overflowPunct w:val="0"/>
              <w:topLinePunct/>
              <w:spacing w:line="320" w:lineRule="exact"/>
              <w:jc w:val="center"/>
              <w:rPr>
                <w:rFonts w:eastAsia="仿宋_GB2312"/>
                <w:szCs w:val="21"/>
              </w:rPr>
            </w:pPr>
          </w:p>
        </w:tc>
        <w:tc>
          <w:tcPr>
            <w:tcW w:w="407" w:type="pct"/>
            <w:vMerge w:val="continue"/>
            <w:vAlign w:val="center"/>
          </w:tcPr>
          <w:p>
            <w:pPr>
              <w:overflowPunct w:val="0"/>
              <w:topLinePunct/>
              <w:spacing w:line="320" w:lineRule="exact"/>
              <w:jc w:val="center"/>
              <w:rPr>
                <w:rFonts w:eastAsia="仿宋_GB2312"/>
                <w:szCs w:val="21"/>
              </w:rPr>
            </w:pPr>
          </w:p>
        </w:tc>
        <w:tc>
          <w:tcPr>
            <w:tcW w:w="352" w:type="pct"/>
            <w:vMerge w:val="restart"/>
            <w:vAlign w:val="center"/>
          </w:tcPr>
          <w:p>
            <w:pPr>
              <w:overflowPunct w:val="0"/>
              <w:topLinePunct/>
              <w:spacing w:line="320" w:lineRule="exact"/>
              <w:jc w:val="center"/>
              <w:rPr>
                <w:rFonts w:eastAsia="仿宋_GB2312"/>
                <w:szCs w:val="21"/>
              </w:rPr>
            </w:pPr>
            <w:r>
              <w:rPr>
                <w:rFonts w:eastAsia="仿宋_GB2312"/>
                <w:szCs w:val="21"/>
              </w:rPr>
              <w:t>能源低碳化</w:t>
            </w:r>
          </w:p>
        </w:tc>
        <w:tc>
          <w:tcPr>
            <w:tcW w:w="2104" w:type="pct"/>
            <w:vAlign w:val="center"/>
          </w:tcPr>
          <w:p>
            <w:pPr>
              <w:pStyle w:val="47"/>
              <w:overflowPunct w:val="0"/>
              <w:topLinePunct/>
              <w:spacing w:line="26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计算单位产品综合能</w:t>
            </w:r>
            <w:r>
              <w:rPr>
                <w:rFonts w:eastAsia="仿宋_GB2312"/>
                <w:sz w:val="21"/>
                <w:szCs w:val="21"/>
              </w:rPr>
              <w:t>耗</w:t>
            </w:r>
            <w:r>
              <w:rPr>
                <w:rFonts w:eastAsia="仿宋_GB2312"/>
                <w:spacing w:val="-29"/>
                <w:sz w:val="21"/>
                <w:szCs w:val="21"/>
              </w:rPr>
              <w:t>，</w:t>
            </w:r>
            <w:r>
              <w:rPr>
                <w:rFonts w:eastAsia="仿宋_GB2312"/>
                <w:sz w:val="21"/>
                <w:szCs w:val="21"/>
              </w:rPr>
              <w:t>指标应符合相关国家</w:t>
            </w:r>
            <w:r>
              <w:rPr>
                <w:rFonts w:eastAsia="仿宋_GB2312"/>
                <w:spacing w:val="-27"/>
                <w:sz w:val="21"/>
                <w:szCs w:val="21"/>
              </w:rPr>
              <w:t>、</w:t>
            </w:r>
            <w:r>
              <w:rPr>
                <w:rFonts w:eastAsia="仿宋_GB2312"/>
                <w:sz w:val="21"/>
                <w:szCs w:val="21"/>
              </w:rPr>
              <w:t>行业标准中的限额要求</w:t>
            </w:r>
            <w:r>
              <w:rPr>
                <w:rFonts w:eastAsia="仿宋_GB2312"/>
                <w:spacing w:val="-29"/>
                <w:sz w:val="21"/>
                <w:szCs w:val="21"/>
              </w:rPr>
              <w:t>。</w:t>
            </w:r>
            <w:r>
              <w:rPr>
                <w:rFonts w:eastAsia="仿宋_GB2312"/>
                <w:sz w:val="21"/>
                <w:szCs w:val="21"/>
              </w:rPr>
              <w:t>未制定相关标准的</w:t>
            </w:r>
            <w:r>
              <w:rPr>
                <w:rFonts w:eastAsia="仿宋_GB2312"/>
                <w:spacing w:val="-27"/>
                <w:sz w:val="21"/>
                <w:szCs w:val="21"/>
              </w:rPr>
              <w:t>，</w:t>
            </w:r>
            <w:r>
              <w:rPr>
                <w:rFonts w:eastAsia="仿宋_GB2312"/>
                <w:sz w:val="21"/>
                <w:szCs w:val="21"/>
              </w:rPr>
              <w:t>应达到行业平均水平</w:t>
            </w:r>
            <w:r>
              <w:rPr>
                <w:rFonts w:eastAsia="仿宋_GB2312"/>
                <w:spacing w:val="-29"/>
                <w:sz w:val="21"/>
                <w:szCs w:val="21"/>
              </w:rPr>
              <w:t>。</w:t>
            </w:r>
            <w:r>
              <w:rPr>
                <w:rFonts w:eastAsia="仿宋_GB2312"/>
                <w:sz w:val="21"/>
                <w:szCs w:val="21"/>
              </w:rPr>
              <w:t>（装备</w:t>
            </w:r>
            <w:r>
              <w:rPr>
                <w:rFonts w:eastAsia="仿宋_GB2312"/>
                <w:spacing w:val="-12"/>
                <w:sz w:val="21"/>
                <w:szCs w:val="21"/>
              </w:rPr>
              <w:t>、</w:t>
            </w:r>
            <w:r>
              <w:rPr>
                <w:rFonts w:eastAsia="仿宋_GB2312"/>
                <w:sz w:val="21"/>
                <w:szCs w:val="21"/>
              </w:rPr>
              <w:t>电子</w:t>
            </w:r>
            <w:r>
              <w:rPr>
                <w:rFonts w:eastAsia="仿宋_GB2312"/>
                <w:spacing w:val="-15"/>
                <w:sz w:val="21"/>
                <w:szCs w:val="21"/>
              </w:rPr>
              <w:t>、</w:t>
            </w:r>
            <w:r>
              <w:rPr>
                <w:rFonts w:eastAsia="仿宋_GB2312"/>
                <w:sz w:val="21"/>
                <w:szCs w:val="21"/>
              </w:rPr>
              <w:t>电器等离散制造业可采用单位产值或单位工业增加值指标。）</w:t>
            </w:r>
          </w:p>
        </w:tc>
        <w:tc>
          <w:tcPr>
            <w:tcW w:w="592" w:type="pct"/>
            <w:vMerge w:val="restar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line="320" w:lineRule="exact"/>
              <w:jc w:val="center"/>
              <w:rPr>
                <w:rFonts w:eastAsia="仿宋_GB2312"/>
                <w:sz w:val="21"/>
                <w:szCs w:val="21"/>
              </w:rPr>
            </w:pPr>
            <w:r>
              <w:rPr>
                <w:rFonts w:eastAsia="仿宋_GB2312"/>
                <w:sz w:val="21"/>
                <w:szCs w:val="21"/>
              </w:rPr>
              <w:t>6</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jc w:val="center"/>
        </w:trPr>
        <w:tc>
          <w:tcPr>
            <w:tcW w:w="252" w:type="pct"/>
            <w:vMerge w:val="continue"/>
            <w:vAlign w:val="center"/>
          </w:tcPr>
          <w:p>
            <w:pPr>
              <w:overflowPunct w:val="0"/>
              <w:topLinePunct/>
              <w:spacing w:line="320" w:lineRule="exact"/>
              <w:rPr>
                <w:rFonts w:eastAsia="仿宋_GB2312"/>
                <w:szCs w:val="21"/>
              </w:rPr>
            </w:pPr>
          </w:p>
        </w:tc>
        <w:tc>
          <w:tcPr>
            <w:tcW w:w="407" w:type="pct"/>
            <w:vMerge w:val="continue"/>
            <w:vAlign w:val="center"/>
          </w:tcPr>
          <w:p>
            <w:pPr>
              <w:overflowPunct w:val="0"/>
              <w:topLinePunct/>
              <w:spacing w:line="320" w:lineRule="exact"/>
              <w:rPr>
                <w:rFonts w:eastAsia="仿宋_GB2312"/>
                <w:szCs w:val="21"/>
              </w:rPr>
            </w:pPr>
          </w:p>
        </w:tc>
        <w:tc>
          <w:tcPr>
            <w:tcW w:w="352" w:type="pct"/>
            <w:vMerge w:val="continue"/>
            <w:vAlign w:val="center"/>
          </w:tcPr>
          <w:p>
            <w:pPr>
              <w:overflowPunct w:val="0"/>
              <w:topLinePunct/>
              <w:spacing w:line="320" w:lineRule="exact"/>
              <w:rPr>
                <w:rFonts w:eastAsia="仿宋_GB2312"/>
                <w:szCs w:val="21"/>
              </w:rPr>
            </w:pPr>
          </w:p>
        </w:tc>
        <w:tc>
          <w:tcPr>
            <w:tcW w:w="2104" w:type="pct"/>
            <w:vAlign w:val="center"/>
          </w:tcPr>
          <w:p>
            <w:pPr>
              <w:pStyle w:val="47"/>
              <w:overflowPunct w:val="0"/>
              <w:topLinePunct/>
              <w:spacing w:line="260" w:lineRule="exact"/>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计算单位产品综合能</w:t>
            </w:r>
            <w:r>
              <w:rPr>
                <w:rFonts w:eastAsia="仿宋_GB2312"/>
                <w:sz w:val="21"/>
                <w:szCs w:val="21"/>
              </w:rPr>
              <w:t>耗</w:t>
            </w:r>
            <w:r>
              <w:rPr>
                <w:rFonts w:eastAsia="仿宋_GB2312"/>
                <w:spacing w:val="-29"/>
                <w:sz w:val="21"/>
                <w:szCs w:val="21"/>
              </w:rPr>
              <w:t>，</w:t>
            </w:r>
            <w:r>
              <w:rPr>
                <w:rFonts w:eastAsia="仿宋_GB2312"/>
                <w:sz w:val="21"/>
                <w:szCs w:val="21"/>
              </w:rPr>
              <w:t>指标达到相关国家</w:t>
            </w:r>
            <w:r>
              <w:rPr>
                <w:rFonts w:eastAsia="仿宋_GB2312"/>
                <w:spacing w:val="-27"/>
                <w:sz w:val="21"/>
                <w:szCs w:val="21"/>
              </w:rPr>
              <w:t>、</w:t>
            </w:r>
            <w:r>
              <w:rPr>
                <w:rFonts w:eastAsia="仿宋_GB2312"/>
                <w:sz w:val="21"/>
                <w:szCs w:val="21"/>
              </w:rPr>
              <w:t>行业标准中的先进值要求。未制定相关标准的，应优于行业前</w:t>
            </w:r>
            <w:r>
              <w:rPr>
                <w:rFonts w:eastAsia="仿宋_GB2312"/>
                <w:spacing w:val="-60"/>
                <w:sz w:val="21"/>
                <w:szCs w:val="21"/>
              </w:rPr>
              <w:t xml:space="preserve"> </w:t>
            </w:r>
            <w:r>
              <w:rPr>
                <w:rFonts w:eastAsia="仿宋_GB2312"/>
                <w:sz w:val="21"/>
                <w:szCs w:val="21"/>
              </w:rPr>
              <w:t>20%水平</w:t>
            </w:r>
            <w:r>
              <w:rPr>
                <w:rFonts w:eastAsia="仿宋_GB2312"/>
                <w:spacing w:val="-29"/>
                <w:sz w:val="21"/>
                <w:szCs w:val="21"/>
              </w:rPr>
              <w:t>。</w:t>
            </w:r>
            <w:r>
              <w:rPr>
                <w:rFonts w:eastAsia="仿宋_GB2312"/>
                <w:sz w:val="21"/>
                <w:szCs w:val="21"/>
              </w:rPr>
              <w:t>（装备</w:t>
            </w:r>
            <w:r>
              <w:rPr>
                <w:rFonts w:eastAsia="仿宋_GB2312"/>
                <w:spacing w:val="-12"/>
                <w:sz w:val="21"/>
                <w:szCs w:val="21"/>
              </w:rPr>
              <w:t>、</w:t>
            </w:r>
            <w:r>
              <w:rPr>
                <w:rFonts w:eastAsia="仿宋_GB2312"/>
                <w:sz w:val="21"/>
                <w:szCs w:val="21"/>
              </w:rPr>
              <w:t>电子</w:t>
            </w:r>
            <w:r>
              <w:rPr>
                <w:rFonts w:eastAsia="仿宋_GB2312"/>
                <w:spacing w:val="-15"/>
                <w:sz w:val="21"/>
                <w:szCs w:val="21"/>
              </w:rPr>
              <w:t>、</w:t>
            </w:r>
            <w:r>
              <w:rPr>
                <w:rFonts w:eastAsia="仿宋_GB2312"/>
                <w:sz w:val="21"/>
                <w:szCs w:val="21"/>
              </w:rPr>
              <w:t>电器等离散制造业可采</w:t>
            </w:r>
            <w:r>
              <w:rPr>
                <w:rFonts w:eastAsia="仿宋_GB2312"/>
                <w:spacing w:val="6"/>
                <w:sz w:val="21"/>
                <w:szCs w:val="21"/>
              </w:rPr>
              <w:t>用单位产值或单位工业增加值指标。）前</w:t>
            </w:r>
            <w:r>
              <w:rPr>
                <w:rFonts w:eastAsia="仿宋_GB2312"/>
                <w:spacing w:val="-55"/>
                <w:sz w:val="21"/>
                <w:szCs w:val="21"/>
              </w:rPr>
              <w:t xml:space="preserve"> </w:t>
            </w:r>
            <w:r>
              <w:rPr>
                <w:rFonts w:eastAsia="仿宋_GB2312"/>
                <w:sz w:val="21"/>
                <w:szCs w:val="21"/>
              </w:rPr>
              <w:t>5%为满分。</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4</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2" w:type="pct"/>
            <w:vMerge w:val="continue"/>
            <w:vAlign w:val="center"/>
          </w:tcPr>
          <w:p>
            <w:pPr>
              <w:overflowPunct w:val="0"/>
              <w:topLinePunct/>
              <w:spacing w:line="320" w:lineRule="exact"/>
              <w:rPr>
                <w:rFonts w:eastAsia="仿宋_GB2312"/>
                <w:szCs w:val="21"/>
              </w:rPr>
            </w:pPr>
          </w:p>
        </w:tc>
        <w:tc>
          <w:tcPr>
            <w:tcW w:w="407" w:type="pct"/>
            <w:vMerge w:val="continue"/>
            <w:vAlign w:val="center"/>
          </w:tcPr>
          <w:p>
            <w:pPr>
              <w:overflowPunct w:val="0"/>
              <w:topLinePunct/>
              <w:spacing w:line="320" w:lineRule="exact"/>
              <w:rPr>
                <w:rFonts w:eastAsia="仿宋_GB2312"/>
                <w:szCs w:val="21"/>
              </w:rPr>
            </w:pPr>
          </w:p>
        </w:tc>
        <w:tc>
          <w:tcPr>
            <w:tcW w:w="352" w:type="pct"/>
            <w:vMerge w:val="continue"/>
            <w:vAlign w:val="center"/>
          </w:tcPr>
          <w:p>
            <w:pPr>
              <w:overflowPunct w:val="0"/>
              <w:topLinePunct/>
              <w:spacing w:line="320" w:lineRule="exact"/>
              <w:rPr>
                <w:rFonts w:eastAsia="仿宋_GB2312"/>
                <w:szCs w:val="21"/>
              </w:rPr>
            </w:pPr>
          </w:p>
        </w:tc>
        <w:tc>
          <w:tcPr>
            <w:tcW w:w="2104" w:type="pct"/>
            <w:vAlign w:val="center"/>
          </w:tcPr>
          <w:p>
            <w:pPr>
              <w:pStyle w:val="47"/>
              <w:overflowPunct w:val="0"/>
              <w:topLinePunct/>
              <w:spacing w:line="260" w:lineRule="exact"/>
              <w:ind w:right="-18"/>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计算单位产品碳排放</w:t>
            </w:r>
            <w:r>
              <w:rPr>
                <w:rFonts w:eastAsia="仿宋_GB2312"/>
                <w:sz w:val="21"/>
                <w:szCs w:val="21"/>
              </w:rPr>
              <w:t>量</w:t>
            </w:r>
            <w:r>
              <w:rPr>
                <w:rFonts w:eastAsia="仿宋_GB2312"/>
                <w:spacing w:val="-44"/>
                <w:sz w:val="21"/>
                <w:szCs w:val="21"/>
              </w:rPr>
              <w:t>，</w:t>
            </w:r>
            <w:r>
              <w:rPr>
                <w:rFonts w:eastAsia="仿宋_GB2312"/>
                <w:sz w:val="21"/>
                <w:szCs w:val="21"/>
              </w:rPr>
              <w:t>指标应优于行业平均水平</w:t>
            </w:r>
            <w:r>
              <w:rPr>
                <w:rFonts w:eastAsia="仿宋_GB2312"/>
                <w:spacing w:val="-87"/>
                <w:sz w:val="21"/>
                <w:szCs w:val="21"/>
              </w:rPr>
              <w:t>。</w:t>
            </w:r>
            <w:r>
              <w:rPr>
                <w:rFonts w:eastAsia="仿宋_GB2312"/>
                <w:spacing w:val="-3"/>
                <w:sz w:val="21"/>
                <w:szCs w:val="21"/>
              </w:rPr>
              <w:t>（</w:t>
            </w:r>
            <w:r>
              <w:rPr>
                <w:rFonts w:eastAsia="仿宋_GB2312"/>
                <w:sz w:val="21"/>
                <w:szCs w:val="21"/>
              </w:rPr>
              <w:t>装备</w:t>
            </w:r>
            <w:r>
              <w:rPr>
                <w:rFonts w:eastAsia="仿宋_GB2312"/>
                <w:spacing w:val="-44"/>
                <w:sz w:val="21"/>
                <w:szCs w:val="21"/>
              </w:rPr>
              <w:t>、</w:t>
            </w:r>
            <w:r>
              <w:rPr>
                <w:rFonts w:eastAsia="仿宋_GB2312"/>
                <w:sz w:val="21"/>
                <w:szCs w:val="21"/>
              </w:rPr>
              <w:t xml:space="preserve">电子、 </w:t>
            </w:r>
            <w:r>
              <w:rPr>
                <w:rFonts w:eastAsia="仿宋_GB2312"/>
                <w:spacing w:val="9"/>
                <w:sz w:val="21"/>
                <w:szCs w:val="21"/>
              </w:rPr>
              <w:t>电器等离散制造业可采用单位产值或单位工</w:t>
            </w:r>
            <w:r>
              <w:rPr>
                <w:rFonts w:eastAsia="仿宋_GB2312"/>
                <w:sz w:val="21"/>
                <w:szCs w:val="21"/>
              </w:rPr>
              <w:t>业增加值指标。）</w:t>
            </w:r>
          </w:p>
        </w:tc>
        <w:tc>
          <w:tcPr>
            <w:tcW w:w="592" w:type="pct"/>
            <w:vMerge w:val="restart"/>
            <w:vAlign w:val="center"/>
          </w:tcPr>
          <w:p>
            <w:pPr>
              <w:overflowPunct w:val="0"/>
              <w:topLinePunct/>
              <w:spacing w:line="320" w:lineRule="exact"/>
              <w:rPr>
                <w:rFonts w:eastAsia="仿宋_GB2312"/>
                <w:szCs w:val="21"/>
              </w:rPr>
            </w:pPr>
            <w:r>
              <w:rPr>
                <w:rFonts w:eastAsia="仿宋_GB2312"/>
                <w:szCs w:val="21"/>
              </w:rPr>
              <w:t>　</w:t>
            </w:r>
          </w:p>
        </w:tc>
        <w:tc>
          <w:tcPr>
            <w:tcW w:w="457"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必选</w:t>
            </w:r>
          </w:p>
        </w:tc>
        <w:tc>
          <w:tcPr>
            <w:tcW w:w="305"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3</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252" w:type="pct"/>
            <w:vMerge w:val="continue"/>
            <w:vAlign w:val="center"/>
          </w:tcPr>
          <w:p>
            <w:pPr>
              <w:overflowPunct w:val="0"/>
              <w:topLinePunct/>
              <w:spacing w:line="320" w:lineRule="exact"/>
              <w:rPr>
                <w:rFonts w:eastAsia="仿宋_GB2312"/>
                <w:szCs w:val="21"/>
              </w:rPr>
            </w:pPr>
          </w:p>
        </w:tc>
        <w:tc>
          <w:tcPr>
            <w:tcW w:w="407" w:type="pct"/>
            <w:vMerge w:val="continue"/>
            <w:vAlign w:val="center"/>
          </w:tcPr>
          <w:p>
            <w:pPr>
              <w:overflowPunct w:val="0"/>
              <w:topLinePunct/>
              <w:spacing w:line="320" w:lineRule="exact"/>
              <w:rPr>
                <w:rFonts w:eastAsia="仿宋_GB2312"/>
                <w:szCs w:val="21"/>
              </w:rPr>
            </w:pPr>
          </w:p>
        </w:tc>
        <w:tc>
          <w:tcPr>
            <w:tcW w:w="352" w:type="pct"/>
            <w:vMerge w:val="continue"/>
            <w:vAlign w:val="center"/>
          </w:tcPr>
          <w:p>
            <w:pPr>
              <w:overflowPunct w:val="0"/>
              <w:topLinePunct/>
              <w:spacing w:line="320" w:lineRule="exact"/>
              <w:rPr>
                <w:rFonts w:eastAsia="仿宋_GB2312"/>
                <w:szCs w:val="21"/>
              </w:rPr>
            </w:pPr>
          </w:p>
        </w:tc>
        <w:tc>
          <w:tcPr>
            <w:tcW w:w="2104" w:type="pct"/>
            <w:vAlign w:val="center"/>
          </w:tcPr>
          <w:p>
            <w:pPr>
              <w:pStyle w:val="47"/>
              <w:overflowPunct w:val="0"/>
              <w:topLinePunct/>
              <w:spacing w:line="260" w:lineRule="exact"/>
              <w:ind w:right="-18"/>
              <w:rPr>
                <w:rFonts w:eastAsia="仿宋_GB2312"/>
                <w:sz w:val="21"/>
                <w:szCs w:val="21"/>
              </w:rPr>
            </w:pPr>
            <w:r>
              <w:rPr>
                <w:rFonts w:eastAsia="仿宋_GB2312"/>
                <w:spacing w:val="2"/>
                <w:sz w:val="21"/>
                <w:szCs w:val="21"/>
              </w:rPr>
              <w:t>按照</w:t>
            </w:r>
            <w:r>
              <w:rPr>
                <w:rFonts w:eastAsia="仿宋_GB2312"/>
                <w:spacing w:val="-58"/>
                <w:sz w:val="21"/>
                <w:szCs w:val="21"/>
              </w:rPr>
              <w:t xml:space="preserve"> </w:t>
            </w:r>
            <w:r>
              <w:rPr>
                <w:rFonts w:eastAsia="仿宋_GB2312"/>
                <w:sz w:val="21"/>
                <w:szCs w:val="21"/>
              </w:rPr>
              <w:t>GB/T</w:t>
            </w:r>
            <w:r>
              <w:rPr>
                <w:rFonts w:eastAsia="仿宋_GB2312"/>
                <w:spacing w:val="4"/>
                <w:sz w:val="21"/>
                <w:szCs w:val="21"/>
              </w:rPr>
              <w:t xml:space="preserve"> </w:t>
            </w:r>
            <w:r>
              <w:rPr>
                <w:rFonts w:eastAsia="仿宋_GB2312"/>
                <w:sz w:val="21"/>
                <w:szCs w:val="21"/>
              </w:rPr>
              <w:t>36132</w:t>
            </w:r>
            <w:r>
              <w:rPr>
                <w:rFonts w:eastAsia="仿宋_GB2312"/>
                <w:spacing w:val="-56"/>
                <w:sz w:val="21"/>
                <w:szCs w:val="21"/>
              </w:rPr>
              <w:t xml:space="preserve"> </w:t>
            </w:r>
            <w:r>
              <w:rPr>
                <w:rFonts w:eastAsia="仿宋_GB2312"/>
                <w:spacing w:val="2"/>
                <w:sz w:val="21"/>
                <w:szCs w:val="21"/>
              </w:rPr>
              <w:t>附录</w:t>
            </w:r>
            <w:r>
              <w:rPr>
                <w:rFonts w:eastAsia="仿宋_GB2312"/>
                <w:spacing w:val="-56"/>
                <w:sz w:val="21"/>
                <w:szCs w:val="21"/>
              </w:rPr>
              <w:t xml:space="preserve"> </w:t>
            </w:r>
            <w:r>
              <w:rPr>
                <w:rFonts w:eastAsia="仿宋_GB2312"/>
                <w:sz w:val="21"/>
                <w:szCs w:val="21"/>
              </w:rPr>
              <w:t>A</w:t>
            </w:r>
            <w:r>
              <w:rPr>
                <w:rFonts w:eastAsia="仿宋_GB2312"/>
                <w:spacing w:val="-58"/>
                <w:sz w:val="21"/>
                <w:szCs w:val="21"/>
              </w:rPr>
              <w:t xml:space="preserve"> </w:t>
            </w:r>
            <w:r>
              <w:rPr>
                <w:rFonts w:eastAsia="仿宋_GB2312"/>
                <w:spacing w:val="3"/>
                <w:sz w:val="21"/>
                <w:szCs w:val="21"/>
              </w:rPr>
              <w:t>计算单位产品碳排放</w:t>
            </w:r>
            <w:r>
              <w:rPr>
                <w:rFonts w:eastAsia="仿宋_GB2312"/>
                <w:sz w:val="21"/>
                <w:szCs w:val="21"/>
              </w:rPr>
              <w:t>量</w:t>
            </w:r>
            <w:r>
              <w:rPr>
                <w:rFonts w:eastAsia="仿宋_GB2312"/>
                <w:spacing w:val="-29"/>
                <w:sz w:val="21"/>
                <w:szCs w:val="21"/>
              </w:rPr>
              <w:t>，</w:t>
            </w:r>
            <w:r>
              <w:rPr>
                <w:rFonts w:eastAsia="仿宋_GB2312"/>
                <w:sz w:val="21"/>
                <w:szCs w:val="21"/>
              </w:rPr>
              <w:t>指标优于行业前</w:t>
            </w:r>
            <w:r>
              <w:rPr>
                <w:rFonts w:eastAsia="仿宋_GB2312"/>
                <w:spacing w:val="-60"/>
                <w:sz w:val="21"/>
                <w:szCs w:val="21"/>
              </w:rPr>
              <w:t xml:space="preserve"> </w:t>
            </w:r>
            <w:r>
              <w:rPr>
                <w:rFonts w:eastAsia="仿宋_GB2312"/>
                <w:sz w:val="21"/>
                <w:szCs w:val="21"/>
              </w:rPr>
              <w:t>20%水平</w:t>
            </w:r>
            <w:r>
              <w:rPr>
                <w:rFonts w:eastAsia="仿宋_GB2312"/>
                <w:spacing w:val="-58"/>
                <w:sz w:val="21"/>
                <w:szCs w:val="21"/>
              </w:rPr>
              <w:t>。</w:t>
            </w:r>
            <w:r>
              <w:rPr>
                <w:rFonts w:eastAsia="仿宋_GB2312"/>
                <w:sz w:val="21"/>
                <w:szCs w:val="21"/>
              </w:rPr>
              <w:t>（装备</w:t>
            </w:r>
            <w:r>
              <w:rPr>
                <w:rFonts w:eastAsia="仿宋_GB2312"/>
                <w:spacing w:val="-29"/>
                <w:sz w:val="21"/>
                <w:szCs w:val="21"/>
              </w:rPr>
              <w:t>、</w:t>
            </w:r>
            <w:r>
              <w:rPr>
                <w:rFonts w:eastAsia="仿宋_GB2312"/>
                <w:sz w:val="21"/>
                <w:szCs w:val="21"/>
              </w:rPr>
              <w:t xml:space="preserve">电子、 </w:t>
            </w:r>
            <w:r>
              <w:rPr>
                <w:rFonts w:eastAsia="仿宋_GB2312"/>
                <w:spacing w:val="9"/>
                <w:sz w:val="21"/>
                <w:szCs w:val="21"/>
              </w:rPr>
              <w:t>电器等离散制造业可采用单位产值或单位工</w:t>
            </w:r>
            <w:r>
              <w:rPr>
                <w:rFonts w:eastAsia="仿宋_GB2312"/>
                <w:sz w:val="21"/>
                <w:szCs w:val="21"/>
              </w:rPr>
              <w:t>业增加值指标。）前</w:t>
            </w:r>
            <w:r>
              <w:rPr>
                <w:rFonts w:eastAsia="仿宋_GB2312"/>
                <w:spacing w:val="-60"/>
                <w:sz w:val="21"/>
                <w:szCs w:val="21"/>
              </w:rPr>
              <w:t xml:space="preserve"> </w:t>
            </w:r>
            <w:r>
              <w:rPr>
                <w:rFonts w:eastAsia="仿宋_GB2312"/>
                <w:sz w:val="21"/>
                <w:szCs w:val="21"/>
              </w:rPr>
              <w:t>5%为满分。</w:t>
            </w:r>
          </w:p>
        </w:tc>
        <w:tc>
          <w:tcPr>
            <w:tcW w:w="592" w:type="pct"/>
            <w:vMerge w:val="continue"/>
            <w:vAlign w:val="center"/>
          </w:tcPr>
          <w:p>
            <w:pPr>
              <w:overflowPunct w:val="0"/>
              <w:topLinePunct/>
              <w:spacing w:line="320" w:lineRule="exact"/>
              <w:rPr>
                <w:rFonts w:eastAsia="仿宋_GB2312"/>
                <w:szCs w:val="21"/>
              </w:rPr>
            </w:pPr>
          </w:p>
        </w:tc>
        <w:tc>
          <w:tcPr>
            <w:tcW w:w="457"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可选</w:t>
            </w:r>
          </w:p>
        </w:tc>
        <w:tc>
          <w:tcPr>
            <w:tcW w:w="305" w:type="pct"/>
            <w:vAlign w:val="center"/>
          </w:tcPr>
          <w:p>
            <w:pPr>
              <w:pStyle w:val="47"/>
              <w:overflowPunct w:val="0"/>
              <w:topLinePunct/>
              <w:spacing w:before="154" w:line="320" w:lineRule="exact"/>
              <w:jc w:val="center"/>
              <w:rPr>
                <w:rFonts w:eastAsia="仿宋_GB2312"/>
                <w:sz w:val="21"/>
                <w:szCs w:val="21"/>
              </w:rPr>
            </w:pPr>
            <w:r>
              <w:rPr>
                <w:rFonts w:eastAsia="仿宋_GB2312"/>
                <w:sz w:val="21"/>
                <w:szCs w:val="21"/>
              </w:rPr>
              <w:t>2</w:t>
            </w:r>
          </w:p>
        </w:tc>
        <w:tc>
          <w:tcPr>
            <w:tcW w:w="255" w:type="pct"/>
            <w:vMerge w:val="continue"/>
            <w:vAlign w:val="center"/>
          </w:tcPr>
          <w:p>
            <w:pPr>
              <w:overflowPunct w:val="0"/>
              <w:topLinePunct/>
              <w:spacing w:line="320" w:lineRule="exact"/>
              <w:jc w:val="center"/>
              <w:rPr>
                <w:rFonts w:eastAsia="仿宋_GB2312"/>
                <w:szCs w:val="21"/>
              </w:rPr>
            </w:pPr>
          </w:p>
        </w:tc>
        <w:tc>
          <w:tcPr>
            <w:tcW w:w="276" w:type="pct"/>
            <w:vAlign w:val="center"/>
          </w:tcPr>
          <w:p>
            <w:pPr>
              <w:overflowPunct w:val="0"/>
              <w:topLinePunct/>
              <w:spacing w:line="32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724" w:type="pct"/>
            <w:gridSpan w:val="8"/>
            <w:vAlign w:val="center"/>
          </w:tcPr>
          <w:p>
            <w:pPr>
              <w:overflowPunct w:val="0"/>
              <w:topLinePunct/>
              <w:spacing w:line="320" w:lineRule="exact"/>
              <w:rPr>
                <w:rFonts w:eastAsia="仿宋_GB2312"/>
                <w:szCs w:val="21"/>
              </w:rPr>
            </w:pPr>
            <w:r>
              <w:rPr>
                <w:rFonts w:eastAsia="仿宋_GB2312"/>
                <w:szCs w:val="21"/>
              </w:rPr>
              <w:t>总分</w:t>
            </w:r>
          </w:p>
        </w:tc>
        <w:tc>
          <w:tcPr>
            <w:tcW w:w="276" w:type="pct"/>
            <w:vAlign w:val="center"/>
          </w:tcPr>
          <w:p>
            <w:pPr>
              <w:overflowPunct w:val="0"/>
              <w:topLinePunct/>
              <w:spacing w:line="320" w:lineRule="exact"/>
              <w:rPr>
                <w:rFonts w:eastAsia="仿宋_GB2312"/>
                <w:color w:val="000000"/>
                <w:szCs w:val="21"/>
              </w:rPr>
            </w:pPr>
          </w:p>
        </w:tc>
      </w:tr>
    </w:tbl>
    <w:p>
      <w:pPr>
        <w:pStyle w:val="8"/>
        <w:overflowPunct w:val="0"/>
        <w:topLinePunct/>
        <w:spacing w:line="293" w:lineRule="exact"/>
        <w:ind w:left="220" w:firstLine="240" w:firstLineChars="100"/>
        <w:jc w:val="both"/>
        <w:rPr>
          <w:b w:val="0"/>
          <w:sz w:val="24"/>
        </w:rPr>
      </w:pPr>
      <w:r>
        <w:rPr>
          <w:rFonts w:ascii="黑体" w:hAnsi="黑体" w:eastAsia="黑体"/>
          <w:b w:val="0"/>
          <w:sz w:val="24"/>
        </w:rPr>
        <w:t>注：</w:t>
      </w:r>
      <w:r>
        <w:rPr>
          <w:b w:val="0"/>
          <w:sz w:val="24"/>
        </w:rPr>
        <w:t>绿色工厂必须满足各项必选要求，可选要求按照受评工厂满足程度在</w:t>
      </w:r>
      <w:r>
        <w:rPr>
          <w:b w:val="0"/>
          <w:spacing w:val="-60"/>
          <w:sz w:val="24"/>
        </w:rPr>
        <w:t xml:space="preserve"> </w:t>
      </w:r>
      <w:r>
        <w:rPr>
          <w:rFonts w:eastAsia="Times New Roman"/>
          <w:b w:val="0"/>
          <w:sz w:val="24"/>
        </w:rPr>
        <w:t xml:space="preserve">0 </w:t>
      </w:r>
      <w:r>
        <w:rPr>
          <w:b w:val="0"/>
          <w:sz w:val="24"/>
        </w:rPr>
        <w:t>分到满分中取值。</w:t>
      </w:r>
    </w:p>
    <w:p>
      <w:pPr>
        <w:widowControl/>
        <w:overflowPunct w:val="0"/>
        <w:topLinePunct/>
        <w:spacing w:line="580" w:lineRule="exact"/>
        <w:ind w:firstLine="156" w:firstLineChars="49"/>
        <w:outlineLvl w:val="0"/>
        <w:rPr>
          <w:rFonts w:eastAsia="仿宋_GB2312"/>
          <w:color w:val="FF0000"/>
          <w:kern w:val="0"/>
          <w:sz w:val="32"/>
          <w:szCs w:val="32"/>
        </w:rPr>
      </w:pPr>
    </w:p>
    <w:p>
      <w:pPr>
        <w:rPr>
          <w:rFonts w:eastAsia="仿宋_GB2312"/>
          <w:color w:val="FF0000"/>
          <w:kern w:val="0"/>
          <w:sz w:val="32"/>
          <w:szCs w:val="32"/>
        </w:rPr>
      </w:pPr>
      <w:r>
        <w:rPr>
          <w:rFonts w:eastAsia="仿宋_GB2312"/>
          <w:color w:val="FF0000"/>
          <w:kern w:val="0"/>
          <w:sz w:val="32"/>
          <w:szCs w:val="32"/>
        </w:rPr>
        <w:br w:type="page"/>
      </w:r>
    </w:p>
    <w:p>
      <w:pPr>
        <w:widowControl/>
        <w:overflowPunct w:val="0"/>
        <w:topLinePunct/>
        <w:spacing w:line="580" w:lineRule="exact"/>
        <w:ind w:firstLine="156" w:firstLineChars="49"/>
        <w:outlineLvl w:val="0"/>
        <w:rPr>
          <w:rFonts w:eastAsia="仿宋_GB2312"/>
          <w:color w:val="FF0000"/>
          <w:kern w:val="0"/>
          <w:sz w:val="32"/>
          <w:szCs w:val="32"/>
        </w:rPr>
        <w:sectPr>
          <w:footerReference r:id="rId5" w:type="default"/>
          <w:footerReference r:id="rId6" w:type="even"/>
          <w:pgSz w:w="16838" w:h="11906" w:orient="landscape"/>
          <w:pgMar w:top="1134" w:right="1134" w:bottom="1134" w:left="1134" w:header="851" w:footer="851" w:gutter="0"/>
          <w:cols w:space="720" w:num="1"/>
          <w:docGrid w:linePitch="312" w:charSpace="0"/>
        </w:sectPr>
      </w:pPr>
    </w:p>
    <w:p>
      <w:pPr>
        <w:widowControl/>
        <w:overflowPunct w:val="0"/>
        <w:topLinePunct/>
        <w:spacing w:line="580" w:lineRule="exact"/>
        <w:ind w:firstLine="156" w:firstLineChars="49"/>
        <w:outlineLvl w:val="0"/>
        <w:rPr>
          <w:rFonts w:eastAsia="黑体"/>
          <w:color w:val="FF0000"/>
          <w:kern w:val="0"/>
          <w:sz w:val="32"/>
          <w:szCs w:val="32"/>
        </w:rPr>
      </w:pPr>
      <w:r>
        <w:rPr>
          <w:rFonts w:eastAsia="黑体"/>
          <w:color w:val="000000"/>
          <w:kern w:val="0"/>
          <w:sz w:val="32"/>
          <w:szCs w:val="32"/>
        </w:rPr>
        <w:t>附件3</w:t>
      </w:r>
    </w:p>
    <w:p>
      <w:pPr>
        <w:widowControl/>
        <w:overflowPunct w:val="0"/>
        <w:topLinePunct/>
        <w:spacing w:line="580" w:lineRule="exact"/>
        <w:ind w:firstLine="1760" w:firstLineChars="400"/>
        <w:outlineLvl w:val="0"/>
        <w:rPr>
          <w:rFonts w:eastAsia="方正小标宋简体"/>
          <w:sz w:val="44"/>
          <w:szCs w:val="44"/>
        </w:rPr>
      </w:pPr>
    </w:p>
    <w:p>
      <w:pPr>
        <w:widowControl/>
        <w:overflowPunct w:val="0"/>
        <w:topLinePunct/>
        <w:spacing w:line="580" w:lineRule="exact"/>
        <w:ind w:firstLine="1760" w:firstLineChars="400"/>
        <w:outlineLvl w:val="0"/>
        <w:rPr>
          <w:rFonts w:eastAsia="方正小标宋简体"/>
          <w:color w:val="FF0000"/>
          <w:kern w:val="0"/>
          <w:sz w:val="44"/>
          <w:szCs w:val="44"/>
        </w:rPr>
      </w:pPr>
      <w:r>
        <w:rPr>
          <w:rFonts w:eastAsia="方正小标宋简体"/>
          <w:sz w:val="44"/>
          <w:szCs w:val="44"/>
        </w:rPr>
        <w:t>202</w:t>
      </w:r>
      <w:r>
        <w:rPr>
          <w:rFonts w:hint="eastAsia" w:eastAsia="方正小标宋简体"/>
          <w:sz w:val="44"/>
          <w:szCs w:val="44"/>
        </w:rPr>
        <w:t>1</w:t>
      </w:r>
      <w:r>
        <w:rPr>
          <w:rFonts w:eastAsia="方正小标宋简体"/>
          <w:sz w:val="44"/>
          <w:szCs w:val="44"/>
        </w:rPr>
        <w:t>年淮北市绿色工厂名单</w:t>
      </w:r>
    </w:p>
    <w:p>
      <w:pPr>
        <w:overflowPunct w:val="0"/>
        <w:topLinePunct/>
        <w:ind w:firstLine="640" w:firstLineChars="200"/>
        <w:rPr>
          <w:rFonts w:eastAsia="仿宋_GB2312"/>
          <w:sz w:val="32"/>
          <w:szCs w:val="32"/>
        </w:rPr>
      </w:pPr>
    </w:p>
    <w:p>
      <w:pPr>
        <w:numPr>
          <w:ilvl w:val="0"/>
          <w:numId w:val="1"/>
        </w:numPr>
        <w:overflowPunct w:val="0"/>
        <w:topLinePun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淮北阳光管业科技有限公司</w:t>
      </w:r>
    </w:p>
    <w:p>
      <w:pPr>
        <w:overflowPunct w:val="0"/>
        <w:topLinePunct/>
        <w:rPr>
          <w:rFonts w:eastAsia="仿宋_GB2312"/>
          <w:sz w:val="32"/>
          <w:szCs w:val="32"/>
        </w:rPr>
      </w:pPr>
      <w:r>
        <w:rPr>
          <w:rFonts w:hint="eastAsia" w:eastAsia="仿宋_GB2312"/>
          <w:sz w:val="32"/>
          <w:szCs w:val="32"/>
        </w:rPr>
        <w:t xml:space="preserve">    </w:t>
      </w:r>
      <w:r>
        <w:rPr>
          <w:rFonts w:eastAsia="仿宋_GB2312"/>
          <w:sz w:val="32"/>
          <w:szCs w:val="32"/>
        </w:rPr>
        <w:t>2、</w:t>
      </w:r>
      <w:r>
        <w:rPr>
          <w:rFonts w:hint="eastAsia" w:ascii="仿宋_GB2312" w:hAnsi="仿宋_GB2312" w:eastAsia="仿宋_GB2312" w:cs="仿宋_GB2312"/>
          <w:color w:val="000000"/>
          <w:kern w:val="0"/>
          <w:sz w:val="32"/>
          <w:szCs w:val="32"/>
        </w:rPr>
        <w:t>安徽富林环保科技有限公司</w:t>
      </w:r>
    </w:p>
    <w:p>
      <w:pPr>
        <w:numPr>
          <w:ilvl w:val="0"/>
          <w:numId w:val="2"/>
        </w:numPr>
        <w:overflowPunct w:val="0"/>
        <w:topLinePun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安徽贝宝食品有限公司</w:t>
      </w:r>
    </w:p>
    <w:p>
      <w:pPr>
        <w:overflowPunct w:val="0"/>
        <w:topLinePunct/>
        <w:rPr>
          <w:rFonts w:eastAsia="仿宋_GB2312"/>
          <w:sz w:val="32"/>
          <w:szCs w:val="32"/>
        </w:rPr>
      </w:pPr>
      <w:r>
        <w:rPr>
          <w:rFonts w:hint="eastAsia" w:eastAsia="仿宋_GB2312"/>
          <w:sz w:val="32"/>
          <w:szCs w:val="32"/>
        </w:rPr>
        <w:t xml:space="preserve">    </w:t>
      </w:r>
      <w:r>
        <w:rPr>
          <w:rFonts w:eastAsia="仿宋_GB2312"/>
          <w:sz w:val="32"/>
          <w:szCs w:val="32"/>
        </w:rPr>
        <w:t>4、</w:t>
      </w:r>
      <w:r>
        <w:rPr>
          <w:rFonts w:hint="eastAsia" w:ascii="仿宋_GB2312" w:hAnsi="仿宋_GB2312" w:eastAsia="仿宋_GB2312" w:cs="仿宋_GB2312"/>
          <w:color w:val="000000"/>
          <w:kern w:val="0"/>
          <w:sz w:val="32"/>
          <w:szCs w:val="32"/>
        </w:rPr>
        <w:t>安徽旺德福食品有限公司</w:t>
      </w:r>
    </w:p>
    <w:p>
      <w:pPr>
        <w:overflowPunct w:val="0"/>
        <w:topLinePunct/>
        <w:ind w:firstLine="640" w:firstLineChars="200"/>
        <w:rPr>
          <w:rFonts w:eastAsia="仿宋_GB2312"/>
          <w:sz w:val="32"/>
          <w:szCs w:val="32"/>
        </w:rPr>
      </w:pPr>
      <w:r>
        <w:rPr>
          <w:rFonts w:eastAsia="仿宋_GB2312"/>
          <w:sz w:val="32"/>
          <w:szCs w:val="32"/>
        </w:rPr>
        <w:t>5、</w:t>
      </w:r>
      <w:r>
        <w:rPr>
          <w:rFonts w:hint="eastAsia" w:ascii="仿宋_GB2312" w:hAnsi="仿宋_GB2312" w:eastAsia="仿宋_GB2312" w:cs="仿宋_GB2312"/>
          <w:color w:val="000000"/>
          <w:kern w:val="0"/>
          <w:sz w:val="32"/>
          <w:szCs w:val="32"/>
        </w:rPr>
        <w:t>安徽皖雪食品股份公司</w:t>
      </w:r>
    </w:p>
    <w:p>
      <w:pPr>
        <w:overflowPunct w:val="0"/>
        <w:topLinePunct/>
        <w:ind w:firstLine="480" w:firstLineChars="150"/>
        <w:rPr>
          <w:rFonts w:eastAsia="仿宋_GB2312"/>
          <w:sz w:val="32"/>
          <w:szCs w:val="32"/>
        </w:rPr>
      </w:pPr>
      <w:r>
        <w:rPr>
          <w:rFonts w:hint="eastAsia" w:eastAsia="仿宋_GB2312"/>
          <w:sz w:val="32"/>
          <w:szCs w:val="32"/>
        </w:rPr>
        <w:t xml:space="preserve"> 6、</w:t>
      </w:r>
      <w:r>
        <w:rPr>
          <w:rFonts w:hint="eastAsia" w:ascii="仿宋_GB2312" w:hAnsi="宋体" w:eastAsia="仿宋_GB2312" w:cs="宋体"/>
          <w:color w:val="000000"/>
          <w:kern w:val="0"/>
          <w:sz w:val="32"/>
          <w:szCs w:val="32"/>
        </w:rPr>
        <w:t>淮北津奥铝业有限公司</w:t>
      </w:r>
    </w:p>
    <w:p>
      <w:pPr>
        <w:overflowPunct w:val="0"/>
        <w:topLinePunct/>
        <w:ind w:firstLine="480" w:firstLineChars="150"/>
        <w:rPr>
          <w:rFonts w:eastAsia="仿宋_GB2312"/>
          <w:sz w:val="32"/>
          <w:szCs w:val="32"/>
        </w:rPr>
      </w:pPr>
    </w:p>
    <w:p>
      <w:pPr>
        <w:overflowPunct w:val="0"/>
        <w:topLinePunct/>
        <w:ind w:firstLine="480" w:firstLineChars="150"/>
        <w:rPr>
          <w:rFonts w:eastAsia="仿宋_GB2312"/>
          <w:sz w:val="32"/>
          <w:szCs w:val="32"/>
        </w:rPr>
      </w:pPr>
    </w:p>
    <w:p>
      <w:pPr>
        <w:overflowPunct w:val="0"/>
        <w:topLinePunct/>
        <w:ind w:firstLine="480" w:firstLineChars="150"/>
        <w:rPr>
          <w:rFonts w:eastAsia="仿宋_GB2312"/>
          <w:sz w:val="32"/>
          <w:szCs w:val="32"/>
        </w:rPr>
      </w:pPr>
    </w:p>
    <w:p>
      <w:pPr>
        <w:overflowPunct w:val="0"/>
        <w:topLinePunct/>
      </w:pPr>
    </w:p>
    <w:sectPr>
      <w:footerReference r:id="rId7" w:type="default"/>
      <w:footerReference r:id="rId8" w:type="even"/>
      <w:pgSz w:w="11906" w:h="16838"/>
      <w:pgMar w:top="1418" w:right="1418" w:bottom="1418" w:left="141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Verdana">
    <w:altName w:val="DejaVu Sans"/>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rPr>
    </w:pPr>
    <w:r>
      <w:rPr>
        <w:rFonts w:hint="eastAsia"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7</w:t>
    </w:r>
    <w:r>
      <w:rPr>
        <w:rFonts w:ascii="宋体" w:hAnsi="宋体"/>
        <w:kern w:val="0"/>
        <w:sz w:val="28"/>
        <w:szCs w:val="21"/>
      </w:rPr>
      <w:fldChar w:fldCharType="end"/>
    </w:r>
    <w:r>
      <w:rPr>
        <w:rFonts w:hint="eastAsia" w:ascii="宋体" w:hAnsi="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8</w:t>
    </w:r>
    <w:r>
      <w:rPr>
        <w:rFonts w:ascii="宋体" w:hAnsi="宋体"/>
        <w:kern w:val="0"/>
        <w:sz w:val="28"/>
        <w:szCs w:val="21"/>
      </w:rPr>
      <w:fldChar w:fldCharType="end"/>
    </w:r>
    <w:r>
      <w:rPr>
        <w:rFonts w:hint="eastAsia" w:ascii="宋体" w:hAnsi="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rPr>
    </w:pPr>
    <w:r>
      <w:rPr>
        <w:rFonts w:hint="eastAsia"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17</w:t>
    </w:r>
    <w:r>
      <w:rPr>
        <w:rFonts w:ascii="宋体" w:hAnsi="宋体"/>
        <w:kern w:val="0"/>
        <w:sz w:val="28"/>
        <w:szCs w:val="21"/>
      </w:rPr>
      <w:fldChar w:fldCharType="end"/>
    </w:r>
    <w:r>
      <w:rPr>
        <w:rFonts w:hint="eastAsia" w:ascii="宋体" w:hAnsi="宋体"/>
        <w:kern w:val="0"/>
        <w:sz w:val="28"/>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18</w:t>
    </w:r>
    <w:r>
      <w:rPr>
        <w:rFonts w:ascii="宋体" w:hAnsi="宋体"/>
        <w:kern w:val="0"/>
        <w:sz w:val="28"/>
        <w:szCs w:val="21"/>
      </w:rPr>
      <w:fldChar w:fldCharType="end"/>
    </w:r>
    <w:r>
      <w:rPr>
        <w:rFonts w:hint="eastAsia" w:ascii="宋体" w:hAnsi="宋体"/>
        <w:kern w:val="0"/>
        <w:sz w:val="28"/>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rPr>
    </w:pPr>
    <w:r>
      <w:rPr>
        <w:rFonts w:hint="eastAsia"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23</w:t>
    </w:r>
    <w:r>
      <w:rPr>
        <w:rFonts w:ascii="宋体" w:hAnsi="宋体"/>
        <w:kern w:val="0"/>
        <w:sz w:val="28"/>
        <w:szCs w:val="21"/>
      </w:rPr>
      <w:fldChar w:fldCharType="end"/>
    </w:r>
    <w:r>
      <w:rPr>
        <w:rFonts w:hint="eastAsia" w:ascii="宋体" w:hAnsi="宋体"/>
        <w:kern w:val="0"/>
        <w:sz w:val="28"/>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32</w:t>
    </w:r>
    <w:r>
      <w:rPr>
        <w:rFonts w:ascii="宋体" w:hAnsi="宋体"/>
        <w:kern w:val="0"/>
        <w:sz w:val="28"/>
        <w:szCs w:val="21"/>
      </w:rPr>
      <w:fldChar w:fldCharType="end"/>
    </w:r>
    <w:r>
      <w:rPr>
        <w:rFonts w:hint="eastAsia" w:ascii="宋体" w:hAnsi="宋体"/>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A8DEF"/>
    <w:multiLevelType w:val="singleLevel"/>
    <w:tmpl w:val="667A8DEF"/>
    <w:lvl w:ilvl="0" w:tentative="0">
      <w:start w:val="1"/>
      <w:numFmt w:val="decimal"/>
      <w:suff w:val="nothing"/>
      <w:lvlText w:val="%1、"/>
      <w:lvlJc w:val="left"/>
    </w:lvl>
  </w:abstractNum>
  <w:abstractNum w:abstractNumId="1">
    <w:nsid w:val="667A8E15"/>
    <w:multiLevelType w:val="singleLevel"/>
    <w:tmpl w:val="667A8E1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g4YjlmMDM5ZWExNDdkMzVhMWJlY2JmNzBiNmQifQ=="/>
  </w:docVars>
  <w:rsids>
    <w:rsidRoot w:val="009F5DF3"/>
    <w:rsid w:val="0000147E"/>
    <w:rsid w:val="000015C7"/>
    <w:rsid w:val="00001A70"/>
    <w:rsid w:val="000043B5"/>
    <w:rsid w:val="00004E96"/>
    <w:rsid w:val="0001138C"/>
    <w:rsid w:val="000114B4"/>
    <w:rsid w:val="000114F2"/>
    <w:rsid w:val="00012345"/>
    <w:rsid w:val="0001338B"/>
    <w:rsid w:val="00016CE2"/>
    <w:rsid w:val="00017990"/>
    <w:rsid w:val="00023D7D"/>
    <w:rsid w:val="000243B0"/>
    <w:rsid w:val="000254F3"/>
    <w:rsid w:val="00026B98"/>
    <w:rsid w:val="00030316"/>
    <w:rsid w:val="00031A73"/>
    <w:rsid w:val="00035279"/>
    <w:rsid w:val="00035AC4"/>
    <w:rsid w:val="00036D7A"/>
    <w:rsid w:val="00037149"/>
    <w:rsid w:val="00037FB0"/>
    <w:rsid w:val="00040A48"/>
    <w:rsid w:val="00041324"/>
    <w:rsid w:val="00043588"/>
    <w:rsid w:val="000457FF"/>
    <w:rsid w:val="0004672A"/>
    <w:rsid w:val="00051F82"/>
    <w:rsid w:val="00052631"/>
    <w:rsid w:val="000527CD"/>
    <w:rsid w:val="00052E1B"/>
    <w:rsid w:val="00053156"/>
    <w:rsid w:val="000538C4"/>
    <w:rsid w:val="0005543F"/>
    <w:rsid w:val="000619E9"/>
    <w:rsid w:val="000620C9"/>
    <w:rsid w:val="00062AA1"/>
    <w:rsid w:val="00062CF1"/>
    <w:rsid w:val="0006377D"/>
    <w:rsid w:val="00064AA3"/>
    <w:rsid w:val="00066A15"/>
    <w:rsid w:val="000670ED"/>
    <w:rsid w:val="00071732"/>
    <w:rsid w:val="0007514B"/>
    <w:rsid w:val="00075881"/>
    <w:rsid w:val="00076E07"/>
    <w:rsid w:val="000800BE"/>
    <w:rsid w:val="00080DD5"/>
    <w:rsid w:val="00080FA9"/>
    <w:rsid w:val="000812F2"/>
    <w:rsid w:val="00081D45"/>
    <w:rsid w:val="00085128"/>
    <w:rsid w:val="00090AC4"/>
    <w:rsid w:val="00091412"/>
    <w:rsid w:val="00092EF8"/>
    <w:rsid w:val="00097308"/>
    <w:rsid w:val="000A0EEE"/>
    <w:rsid w:val="000A1137"/>
    <w:rsid w:val="000A127C"/>
    <w:rsid w:val="000A72E8"/>
    <w:rsid w:val="000B1137"/>
    <w:rsid w:val="000B152C"/>
    <w:rsid w:val="000B4117"/>
    <w:rsid w:val="000B5579"/>
    <w:rsid w:val="000B71F7"/>
    <w:rsid w:val="000B763C"/>
    <w:rsid w:val="000B77C3"/>
    <w:rsid w:val="000C052C"/>
    <w:rsid w:val="000C232C"/>
    <w:rsid w:val="000C303C"/>
    <w:rsid w:val="000C3176"/>
    <w:rsid w:val="000C472F"/>
    <w:rsid w:val="000C5CDE"/>
    <w:rsid w:val="000C5DAB"/>
    <w:rsid w:val="000C6AC1"/>
    <w:rsid w:val="000C7C67"/>
    <w:rsid w:val="000D0D6F"/>
    <w:rsid w:val="000D1830"/>
    <w:rsid w:val="000D72D2"/>
    <w:rsid w:val="000E0322"/>
    <w:rsid w:val="000E0A4C"/>
    <w:rsid w:val="000E21D8"/>
    <w:rsid w:val="000E23CF"/>
    <w:rsid w:val="000E581F"/>
    <w:rsid w:val="000F083E"/>
    <w:rsid w:val="000F2495"/>
    <w:rsid w:val="000F3ECB"/>
    <w:rsid w:val="000F6864"/>
    <w:rsid w:val="000F7919"/>
    <w:rsid w:val="00101395"/>
    <w:rsid w:val="00103172"/>
    <w:rsid w:val="00106EB0"/>
    <w:rsid w:val="001104C4"/>
    <w:rsid w:val="0011139B"/>
    <w:rsid w:val="00113072"/>
    <w:rsid w:val="001144E8"/>
    <w:rsid w:val="00115699"/>
    <w:rsid w:val="00117484"/>
    <w:rsid w:val="00122970"/>
    <w:rsid w:val="001233D7"/>
    <w:rsid w:val="0012534A"/>
    <w:rsid w:val="001268AB"/>
    <w:rsid w:val="00127E27"/>
    <w:rsid w:val="001307E5"/>
    <w:rsid w:val="00131957"/>
    <w:rsid w:val="00132316"/>
    <w:rsid w:val="00146124"/>
    <w:rsid w:val="00146685"/>
    <w:rsid w:val="00147231"/>
    <w:rsid w:val="00147967"/>
    <w:rsid w:val="001501EF"/>
    <w:rsid w:val="0015112A"/>
    <w:rsid w:val="001523C6"/>
    <w:rsid w:val="001536AD"/>
    <w:rsid w:val="00154325"/>
    <w:rsid w:val="001546FC"/>
    <w:rsid w:val="001578B3"/>
    <w:rsid w:val="00160DCB"/>
    <w:rsid w:val="00161AAF"/>
    <w:rsid w:val="00165D76"/>
    <w:rsid w:val="00166CF1"/>
    <w:rsid w:val="00170C39"/>
    <w:rsid w:val="00171C15"/>
    <w:rsid w:val="00172AB9"/>
    <w:rsid w:val="00172CD2"/>
    <w:rsid w:val="0017323E"/>
    <w:rsid w:val="001768F3"/>
    <w:rsid w:val="001769B0"/>
    <w:rsid w:val="001807FE"/>
    <w:rsid w:val="00182428"/>
    <w:rsid w:val="00184BDA"/>
    <w:rsid w:val="00193FA5"/>
    <w:rsid w:val="00197D0C"/>
    <w:rsid w:val="001A2020"/>
    <w:rsid w:val="001A2902"/>
    <w:rsid w:val="001A4123"/>
    <w:rsid w:val="001B053A"/>
    <w:rsid w:val="001B1DFC"/>
    <w:rsid w:val="001B1E29"/>
    <w:rsid w:val="001B4233"/>
    <w:rsid w:val="001B64FB"/>
    <w:rsid w:val="001B7714"/>
    <w:rsid w:val="001B78E1"/>
    <w:rsid w:val="001B7CC5"/>
    <w:rsid w:val="001B7F07"/>
    <w:rsid w:val="001C00E5"/>
    <w:rsid w:val="001C04A8"/>
    <w:rsid w:val="001C1B16"/>
    <w:rsid w:val="001C621F"/>
    <w:rsid w:val="001C69B0"/>
    <w:rsid w:val="001C6B9E"/>
    <w:rsid w:val="001D0E3C"/>
    <w:rsid w:val="001D3723"/>
    <w:rsid w:val="001D4091"/>
    <w:rsid w:val="001D6642"/>
    <w:rsid w:val="001D6DF9"/>
    <w:rsid w:val="001D6F89"/>
    <w:rsid w:val="001E112E"/>
    <w:rsid w:val="001E2ADE"/>
    <w:rsid w:val="001E64C1"/>
    <w:rsid w:val="001F1882"/>
    <w:rsid w:val="001F444A"/>
    <w:rsid w:val="001F4D4E"/>
    <w:rsid w:val="001F5BB1"/>
    <w:rsid w:val="001F6856"/>
    <w:rsid w:val="0020144E"/>
    <w:rsid w:val="00203CA9"/>
    <w:rsid w:val="00205120"/>
    <w:rsid w:val="00205BD3"/>
    <w:rsid w:val="00215391"/>
    <w:rsid w:val="00216428"/>
    <w:rsid w:val="00220A04"/>
    <w:rsid w:val="00222D6F"/>
    <w:rsid w:val="00225A2C"/>
    <w:rsid w:val="00230600"/>
    <w:rsid w:val="002367DA"/>
    <w:rsid w:val="002407B6"/>
    <w:rsid w:val="00240B95"/>
    <w:rsid w:val="00241921"/>
    <w:rsid w:val="002419B1"/>
    <w:rsid w:val="00242452"/>
    <w:rsid w:val="002444AF"/>
    <w:rsid w:val="00246ACB"/>
    <w:rsid w:val="00246C60"/>
    <w:rsid w:val="0024704A"/>
    <w:rsid w:val="00250DB0"/>
    <w:rsid w:val="00251069"/>
    <w:rsid w:val="002530C5"/>
    <w:rsid w:val="00253F3A"/>
    <w:rsid w:val="002567CB"/>
    <w:rsid w:val="002571B7"/>
    <w:rsid w:val="0026119E"/>
    <w:rsid w:val="00261539"/>
    <w:rsid w:val="00266E06"/>
    <w:rsid w:val="00267927"/>
    <w:rsid w:val="00271476"/>
    <w:rsid w:val="00273E54"/>
    <w:rsid w:val="00274AB6"/>
    <w:rsid w:val="00274E4C"/>
    <w:rsid w:val="00276419"/>
    <w:rsid w:val="00277B63"/>
    <w:rsid w:val="002800C9"/>
    <w:rsid w:val="0028100F"/>
    <w:rsid w:val="00285485"/>
    <w:rsid w:val="0028614E"/>
    <w:rsid w:val="002869B4"/>
    <w:rsid w:val="00287213"/>
    <w:rsid w:val="00287615"/>
    <w:rsid w:val="0029407E"/>
    <w:rsid w:val="00294AD7"/>
    <w:rsid w:val="00295559"/>
    <w:rsid w:val="00296436"/>
    <w:rsid w:val="002A0555"/>
    <w:rsid w:val="002A429E"/>
    <w:rsid w:val="002A483E"/>
    <w:rsid w:val="002A5E8B"/>
    <w:rsid w:val="002A7545"/>
    <w:rsid w:val="002B0921"/>
    <w:rsid w:val="002B0ADE"/>
    <w:rsid w:val="002B0B30"/>
    <w:rsid w:val="002B0CB6"/>
    <w:rsid w:val="002B16A0"/>
    <w:rsid w:val="002B390A"/>
    <w:rsid w:val="002B5B62"/>
    <w:rsid w:val="002B6519"/>
    <w:rsid w:val="002B744F"/>
    <w:rsid w:val="002C0C72"/>
    <w:rsid w:val="002C25E0"/>
    <w:rsid w:val="002C333C"/>
    <w:rsid w:val="002C36DC"/>
    <w:rsid w:val="002C373F"/>
    <w:rsid w:val="002C452B"/>
    <w:rsid w:val="002C5DE0"/>
    <w:rsid w:val="002C6368"/>
    <w:rsid w:val="002C7CD3"/>
    <w:rsid w:val="002D2755"/>
    <w:rsid w:val="002D3F1A"/>
    <w:rsid w:val="002D558F"/>
    <w:rsid w:val="002D6912"/>
    <w:rsid w:val="002E00DA"/>
    <w:rsid w:val="002E2074"/>
    <w:rsid w:val="002E2C73"/>
    <w:rsid w:val="002E3607"/>
    <w:rsid w:val="002E5848"/>
    <w:rsid w:val="002E61C0"/>
    <w:rsid w:val="002F0E9D"/>
    <w:rsid w:val="002F1123"/>
    <w:rsid w:val="002F18FE"/>
    <w:rsid w:val="002F1912"/>
    <w:rsid w:val="002F2619"/>
    <w:rsid w:val="002F28B7"/>
    <w:rsid w:val="002F3270"/>
    <w:rsid w:val="002F3611"/>
    <w:rsid w:val="002F3D9A"/>
    <w:rsid w:val="002F5D99"/>
    <w:rsid w:val="002F6092"/>
    <w:rsid w:val="002F7526"/>
    <w:rsid w:val="002F7C1D"/>
    <w:rsid w:val="003008B6"/>
    <w:rsid w:val="00301B24"/>
    <w:rsid w:val="00302F68"/>
    <w:rsid w:val="00303FE5"/>
    <w:rsid w:val="00304901"/>
    <w:rsid w:val="003055E0"/>
    <w:rsid w:val="00310A9F"/>
    <w:rsid w:val="00310BDE"/>
    <w:rsid w:val="003112C3"/>
    <w:rsid w:val="00311C35"/>
    <w:rsid w:val="00317C4B"/>
    <w:rsid w:val="00320784"/>
    <w:rsid w:val="00320C7B"/>
    <w:rsid w:val="00324AA3"/>
    <w:rsid w:val="003255D1"/>
    <w:rsid w:val="003255E2"/>
    <w:rsid w:val="00325BDD"/>
    <w:rsid w:val="00326203"/>
    <w:rsid w:val="003273A9"/>
    <w:rsid w:val="003321E1"/>
    <w:rsid w:val="00333447"/>
    <w:rsid w:val="0033390F"/>
    <w:rsid w:val="00335A64"/>
    <w:rsid w:val="003403C7"/>
    <w:rsid w:val="0034409B"/>
    <w:rsid w:val="003448E6"/>
    <w:rsid w:val="00344BDD"/>
    <w:rsid w:val="00350555"/>
    <w:rsid w:val="0035105E"/>
    <w:rsid w:val="003516C5"/>
    <w:rsid w:val="0035349B"/>
    <w:rsid w:val="0035491C"/>
    <w:rsid w:val="00356B49"/>
    <w:rsid w:val="0035709B"/>
    <w:rsid w:val="0036181E"/>
    <w:rsid w:val="00361E8C"/>
    <w:rsid w:val="003621FF"/>
    <w:rsid w:val="00362EB8"/>
    <w:rsid w:val="00374B7B"/>
    <w:rsid w:val="003754C2"/>
    <w:rsid w:val="00376934"/>
    <w:rsid w:val="00376C37"/>
    <w:rsid w:val="00382C04"/>
    <w:rsid w:val="00383A4B"/>
    <w:rsid w:val="00387AF2"/>
    <w:rsid w:val="003902E8"/>
    <w:rsid w:val="0039295F"/>
    <w:rsid w:val="003930D9"/>
    <w:rsid w:val="00394AAC"/>
    <w:rsid w:val="00395AB2"/>
    <w:rsid w:val="003A0352"/>
    <w:rsid w:val="003A2497"/>
    <w:rsid w:val="003A4AEB"/>
    <w:rsid w:val="003A5810"/>
    <w:rsid w:val="003A61F5"/>
    <w:rsid w:val="003A708A"/>
    <w:rsid w:val="003B2CD9"/>
    <w:rsid w:val="003B3484"/>
    <w:rsid w:val="003B5CFF"/>
    <w:rsid w:val="003C54D3"/>
    <w:rsid w:val="003D293F"/>
    <w:rsid w:val="003D604B"/>
    <w:rsid w:val="003E0AFA"/>
    <w:rsid w:val="003E1021"/>
    <w:rsid w:val="003E116A"/>
    <w:rsid w:val="003E2263"/>
    <w:rsid w:val="003E3691"/>
    <w:rsid w:val="003F4426"/>
    <w:rsid w:val="003F448A"/>
    <w:rsid w:val="003F48E1"/>
    <w:rsid w:val="003F5986"/>
    <w:rsid w:val="003F7AFA"/>
    <w:rsid w:val="00404F3A"/>
    <w:rsid w:val="0040501C"/>
    <w:rsid w:val="004051F5"/>
    <w:rsid w:val="004121B9"/>
    <w:rsid w:val="00412D87"/>
    <w:rsid w:val="004144E3"/>
    <w:rsid w:val="00414557"/>
    <w:rsid w:val="00414594"/>
    <w:rsid w:val="004151CA"/>
    <w:rsid w:val="00416C74"/>
    <w:rsid w:val="00416E3A"/>
    <w:rsid w:val="00421E0F"/>
    <w:rsid w:val="004241AC"/>
    <w:rsid w:val="00426ADA"/>
    <w:rsid w:val="004272DC"/>
    <w:rsid w:val="0043091C"/>
    <w:rsid w:val="0043213F"/>
    <w:rsid w:val="004325AC"/>
    <w:rsid w:val="00437A7E"/>
    <w:rsid w:val="00440828"/>
    <w:rsid w:val="00442845"/>
    <w:rsid w:val="0044452D"/>
    <w:rsid w:val="004449C3"/>
    <w:rsid w:val="00447EE0"/>
    <w:rsid w:val="00450FDA"/>
    <w:rsid w:val="00451F21"/>
    <w:rsid w:val="00454B98"/>
    <w:rsid w:val="004554FF"/>
    <w:rsid w:val="00460466"/>
    <w:rsid w:val="004604E7"/>
    <w:rsid w:val="0046172E"/>
    <w:rsid w:val="004622FC"/>
    <w:rsid w:val="00463E82"/>
    <w:rsid w:val="00465B0E"/>
    <w:rsid w:val="00465BDC"/>
    <w:rsid w:val="00466CC2"/>
    <w:rsid w:val="00467993"/>
    <w:rsid w:val="0047346E"/>
    <w:rsid w:val="004738E7"/>
    <w:rsid w:val="00475CE9"/>
    <w:rsid w:val="00476DE6"/>
    <w:rsid w:val="0047730D"/>
    <w:rsid w:val="00477938"/>
    <w:rsid w:val="00483181"/>
    <w:rsid w:val="00483F7E"/>
    <w:rsid w:val="004871D0"/>
    <w:rsid w:val="00487246"/>
    <w:rsid w:val="00491DF7"/>
    <w:rsid w:val="00495E14"/>
    <w:rsid w:val="00497280"/>
    <w:rsid w:val="00497439"/>
    <w:rsid w:val="00497761"/>
    <w:rsid w:val="004A0F04"/>
    <w:rsid w:val="004A208C"/>
    <w:rsid w:val="004A3A83"/>
    <w:rsid w:val="004A4A15"/>
    <w:rsid w:val="004A5C93"/>
    <w:rsid w:val="004A6241"/>
    <w:rsid w:val="004A696D"/>
    <w:rsid w:val="004A6FEF"/>
    <w:rsid w:val="004A7862"/>
    <w:rsid w:val="004A7897"/>
    <w:rsid w:val="004B144F"/>
    <w:rsid w:val="004B3193"/>
    <w:rsid w:val="004B3A0E"/>
    <w:rsid w:val="004B499B"/>
    <w:rsid w:val="004B7406"/>
    <w:rsid w:val="004C3380"/>
    <w:rsid w:val="004C462B"/>
    <w:rsid w:val="004C57F3"/>
    <w:rsid w:val="004C6CF7"/>
    <w:rsid w:val="004D0713"/>
    <w:rsid w:val="004D0BA9"/>
    <w:rsid w:val="004D2AE4"/>
    <w:rsid w:val="004D3718"/>
    <w:rsid w:val="004D3967"/>
    <w:rsid w:val="004D3F05"/>
    <w:rsid w:val="004D45EE"/>
    <w:rsid w:val="004D5CC0"/>
    <w:rsid w:val="004D7FE9"/>
    <w:rsid w:val="004E0853"/>
    <w:rsid w:val="004E1801"/>
    <w:rsid w:val="004E184F"/>
    <w:rsid w:val="004E4ADC"/>
    <w:rsid w:val="004E529E"/>
    <w:rsid w:val="004E535B"/>
    <w:rsid w:val="004E603D"/>
    <w:rsid w:val="004E6233"/>
    <w:rsid w:val="004F31D4"/>
    <w:rsid w:val="004F3D66"/>
    <w:rsid w:val="004F410A"/>
    <w:rsid w:val="00500DEB"/>
    <w:rsid w:val="0050216E"/>
    <w:rsid w:val="00503060"/>
    <w:rsid w:val="0050515C"/>
    <w:rsid w:val="00505DA2"/>
    <w:rsid w:val="00507AFE"/>
    <w:rsid w:val="00512563"/>
    <w:rsid w:val="005146F6"/>
    <w:rsid w:val="00523C3E"/>
    <w:rsid w:val="00523E4C"/>
    <w:rsid w:val="00525985"/>
    <w:rsid w:val="00525F4E"/>
    <w:rsid w:val="00527A90"/>
    <w:rsid w:val="005310E2"/>
    <w:rsid w:val="00534DFD"/>
    <w:rsid w:val="00537991"/>
    <w:rsid w:val="00540EA7"/>
    <w:rsid w:val="005439A9"/>
    <w:rsid w:val="00544483"/>
    <w:rsid w:val="0054638C"/>
    <w:rsid w:val="00546574"/>
    <w:rsid w:val="00553F8E"/>
    <w:rsid w:val="00554015"/>
    <w:rsid w:val="00555259"/>
    <w:rsid w:val="00555421"/>
    <w:rsid w:val="005558C2"/>
    <w:rsid w:val="00555966"/>
    <w:rsid w:val="00560559"/>
    <w:rsid w:val="00561172"/>
    <w:rsid w:val="00563785"/>
    <w:rsid w:val="005657EE"/>
    <w:rsid w:val="00566275"/>
    <w:rsid w:val="00570D1C"/>
    <w:rsid w:val="00573EBD"/>
    <w:rsid w:val="005749E3"/>
    <w:rsid w:val="00574DBA"/>
    <w:rsid w:val="00575655"/>
    <w:rsid w:val="005804D1"/>
    <w:rsid w:val="00580608"/>
    <w:rsid w:val="005807FF"/>
    <w:rsid w:val="00580B92"/>
    <w:rsid w:val="00583028"/>
    <w:rsid w:val="005869E2"/>
    <w:rsid w:val="005906E0"/>
    <w:rsid w:val="00591034"/>
    <w:rsid w:val="005912A9"/>
    <w:rsid w:val="00591A75"/>
    <w:rsid w:val="00591A7A"/>
    <w:rsid w:val="00595E56"/>
    <w:rsid w:val="00597429"/>
    <w:rsid w:val="005A0623"/>
    <w:rsid w:val="005A2F79"/>
    <w:rsid w:val="005A7C6F"/>
    <w:rsid w:val="005B0E30"/>
    <w:rsid w:val="005B300A"/>
    <w:rsid w:val="005B3102"/>
    <w:rsid w:val="005B3CCA"/>
    <w:rsid w:val="005B697E"/>
    <w:rsid w:val="005C33A6"/>
    <w:rsid w:val="005C4E24"/>
    <w:rsid w:val="005D1CE1"/>
    <w:rsid w:val="005D79A7"/>
    <w:rsid w:val="005D7F12"/>
    <w:rsid w:val="005E22D1"/>
    <w:rsid w:val="005E5250"/>
    <w:rsid w:val="005E6BB0"/>
    <w:rsid w:val="005E7A1C"/>
    <w:rsid w:val="005F1387"/>
    <w:rsid w:val="005F3194"/>
    <w:rsid w:val="005F3950"/>
    <w:rsid w:val="005F43C1"/>
    <w:rsid w:val="005F44CA"/>
    <w:rsid w:val="005F49BD"/>
    <w:rsid w:val="005F5DDA"/>
    <w:rsid w:val="005F72ED"/>
    <w:rsid w:val="00600C4A"/>
    <w:rsid w:val="00601EA1"/>
    <w:rsid w:val="00605ECE"/>
    <w:rsid w:val="00607294"/>
    <w:rsid w:val="0061009E"/>
    <w:rsid w:val="006116B7"/>
    <w:rsid w:val="0061496E"/>
    <w:rsid w:val="00621AC6"/>
    <w:rsid w:val="00623997"/>
    <w:rsid w:val="00627F1C"/>
    <w:rsid w:val="00632DC5"/>
    <w:rsid w:val="006363B8"/>
    <w:rsid w:val="0063697E"/>
    <w:rsid w:val="00643741"/>
    <w:rsid w:val="006445DA"/>
    <w:rsid w:val="006460B5"/>
    <w:rsid w:val="00647268"/>
    <w:rsid w:val="00653060"/>
    <w:rsid w:val="00656D89"/>
    <w:rsid w:val="00657BB4"/>
    <w:rsid w:val="006637B9"/>
    <w:rsid w:val="00665A1D"/>
    <w:rsid w:val="006711A1"/>
    <w:rsid w:val="0067148C"/>
    <w:rsid w:val="006715A8"/>
    <w:rsid w:val="00672150"/>
    <w:rsid w:val="00672C02"/>
    <w:rsid w:val="00672C27"/>
    <w:rsid w:val="00673C62"/>
    <w:rsid w:val="006761CF"/>
    <w:rsid w:val="00677DB7"/>
    <w:rsid w:val="006864D7"/>
    <w:rsid w:val="00687145"/>
    <w:rsid w:val="006877EB"/>
    <w:rsid w:val="00691C4C"/>
    <w:rsid w:val="006931A0"/>
    <w:rsid w:val="006950D1"/>
    <w:rsid w:val="00695BB7"/>
    <w:rsid w:val="006966DE"/>
    <w:rsid w:val="00697597"/>
    <w:rsid w:val="006A514E"/>
    <w:rsid w:val="006A52F9"/>
    <w:rsid w:val="006B47E7"/>
    <w:rsid w:val="006B6A2E"/>
    <w:rsid w:val="006B6B9D"/>
    <w:rsid w:val="006B7991"/>
    <w:rsid w:val="006C11BE"/>
    <w:rsid w:val="006C15E4"/>
    <w:rsid w:val="006C1D06"/>
    <w:rsid w:val="006C2C34"/>
    <w:rsid w:val="006D1480"/>
    <w:rsid w:val="006D2F5C"/>
    <w:rsid w:val="006D3590"/>
    <w:rsid w:val="006D3AFF"/>
    <w:rsid w:val="006D5B4E"/>
    <w:rsid w:val="006D64A6"/>
    <w:rsid w:val="006D70E8"/>
    <w:rsid w:val="006D7B8F"/>
    <w:rsid w:val="006D7C11"/>
    <w:rsid w:val="006E1293"/>
    <w:rsid w:val="006E1366"/>
    <w:rsid w:val="006E23A4"/>
    <w:rsid w:val="006E28AE"/>
    <w:rsid w:val="006E2E20"/>
    <w:rsid w:val="006E35D8"/>
    <w:rsid w:val="006E37CD"/>
    <w:rsid w:val="006E4663"/>
    <w:rsid w:val="006F015F"/>
    <w:rsid w:val="006F0801"/>
    <w:rsid w:val="006F27AE"/>
    <w:rsid w:val="006F2F80"/>
    <w:rsid w:val="006F3155"/>
    <w:rsid w:val="006F5482"/>
    <w:rsid w:val="006F555F"/>
    <w:rsid w:val="006F561B"/>
    <w:rsid w:val="006F6639"/>
    <w:rsid w:val="006F6C0E"/>
    <w:rsid w:val="006F6E32"/>
    <w:rsid w:val="006F6E57"/>
    <w:rsid w:val="00700585"/>
    <w:rsid w:val="007008F6"/>
    <w:rsid w:val="00700B52"/>
    <w:rsid w:val="00711222"/>
    <w:rsid w:val="00712100"/>
    <w:rsid w:val="007124D9"/>
    <w:rsid w:val="0071345B"/>
    <w:rsid w:val="00714886"/>
    <w:rsid w:val="0071762F"/>
    <w:rsid w:val="00721C88"/>
    <w:rsid w:val="0072335F"/>
    <w:rsid w:val="007260A6"/>
    <w:rsid w:val="007330D5"/>
    <w:rsid w:val="0073413E"/>
    <w:rsid w:val="00734523"/>
    <w:rsid w:val="00734B7B"/>
    <w:rsid w:val="00735D9A"/>
    <w:rsid w:val="007361AA"/>
    <w:rsid w:val="007371FF"/>
    <w:rsid w:val="00737BC3"/>
    <w:rsid w:val="007401BB"/>
    <w:rsid w:val="00741DBE"/>
    <w:rsid w:val="00742014"/>
    <w:rsid w:val="00743E0F"/>
    <w:rsid w:val="007463F1"/>
    <w:rsid w:val="0074795B"/>
    <w:rsid w:val="0075257D"/>
    <w:rsid w:val="00752FEB"/>
    <w:rsid w:val="00754647"/>
    <w:rsid w:val="00754AC8"/>
    <w:rsid w:val="00760B27"/>
    <w:rsid w:val="0076110C"/>
    <w:rsid w:val="00761BB5"/>
    <w:rsid w:val="007639B7"/>
    <w:rsid w:val="007703E6"/>
    <w:rsid w:val="00770F1A"/>
    <w:rsid w:val="00771519"/>
    <w:rsid w:val="00771B68"/>
    <w:rsid w:val="00773A0E"/>
    <w:rsid w:val="00774295"/>
    <w:rsid w:val="007749E8"/>
    <w:rsid w:val="007759B9"/>
    <w:rsid w:val="00780656"/>
    <w:rsid w:val="00782178"/>
    <w:rsid w:val="00783831"/>
    <w:rsid w:val="00783AEA"/>
    <w:rsid w:val="007902D4"/>
    <w:rsid w:val="00793916"/>
    <w:rsid w:val="00794E66"/>
    <w:rsid w:val="0079673D"/>
    <w:rsid w:val="007A20C9"/>
    <w:rsid w:val="007A3E51"/>
    <w:rsid w:val="007A45A0"/>
    <w:rsid w:val="007A5DB9"/>
    <w:rsid w:val="007A6943"/>
    <w:rsid w:val="007A7468"/>
    <w:rsid w:val="007A7A61"/>
    <w:rsid w:val="007B01E4"/>
    <w:rsid w:val="007B0A83"/>
    <w:rsid w:val="007B0CD8"/>
    <w:rsid w:val="007B2188"/>
    <w:rsid w:val="007B2646"/>
    <w:rsid w:val="007B323A"/>
    <w:rsid w:val="007B35EB"/>
    <w:rsid w:val="007C0A05"/>
    <w:rsid w:val="007C5047"/>
    <w:rsid w:val="007C53D8"/>
    <w:rsid w:val="007C717E"/>
    <w:rsid w:val="007C7481"/>
    <w:rsid w:val="007C7879"/>
    <w:rsid w:val="007C7CEF"/>
    <w:rsid w:val="007D06CC"/>
    <w:rsid w:val="007D0804"/>
    <w:rsid w:val="007D308C"/>
    <w:rsid w:val="007D37BE"/>
    <w:rsid w:val="007D5261"/>
    <w:rsid w:val="007D5F5B"/>
    <w:rsid w:val="007D77A9"/>
    <w:rsid w:val="007E1AB3"/>
    <w:rsid w:val="007E2E48"/>
    <w:rsid w:val="007E3E14"/>
    <w:rsid w:val="007E4C30"/>
    <w:rsid w:val="007E6D3D"/>
    <w:rsid w:val="007E6E51"/>
    <w:rsid w:val="007F2327"/>
    <w:rsid w:val="008008FB"/>
    <w:rsid w:val="008011F8"/>
    <w:rsid w:val="0080176B"/>
    <w:rsid w:val="00802B30"/>
    <w:rsid w:val="0080750D"/>
    <w:rsid w:val="00807903"/>
    <w:rsid w:val="00810022"/>
    <w:rsid w:val="00810B80"/>
    <w:rsid w:val="0081178C"/>
    <w:rsid w:val="008126EC"/>
    <w:rsid w:val="008160AE"/>
    <w:rsid w:val="008179C7"/>
    <w:rsid w:val="00821C92"/>
    <w:rsid w:val="00822318"/>
    <w:rsid w:val="008223FF"/>
    <w:rsid w:val="0083163D"/>
    <w:rsid w:val="00833963"/>
    <w:rsid w:val="00834A8D"/>
    <w:rsid w:val="00835F1D"/>
    <w:rsid w:val="00837061"/>
    <w:rsid w:val="008414DF"/>
    <w:rsid w:val="0084242A"/>
    <w:rsid w:val="00846991"/>
    <w:rsid w:val="008474F4"/>
    <w:rsid w:val="00850915"/>
    <w:rsid w:val="0085141D"/>
    <w:rsid w:val="00852D82"/>
    <w:rsid w:val="0085591A"/>
    <w:rsid w:val="00855C5A"/>
    <w:rsid w:val="008566A5"/>
    <w:rsid w:val="00857660"/>
    <w:rsid w:val="00862318"/>
    <w:rsid w:val="00862A9C"/>
    <w:rsid w:val="00863683"/>
    <w:rsid w:val="008637E6"/>
    <w:rsid w:val="00863C80"/>
    <w:rsid w:val="008643DC"/>
    <w:rsid w:val="0086525A"/>
    <w:rsid w:val="00866B51"/>
    <w:rsid w:val="00870E00"/>
    <w:rsid w:val="00872D9B"/>
    <w:rsid w:val="00874153"/>
    <w:rsid w:val="008770EC"/>
    <w:rsid w:val="008826A6"/>
    <w:rsid w:val="008835D8"/>
    <w:rsid w:val="00883EFC"/>
    <w:rsid w:val="0088545F"/>
    <w:rsid w:val="00886224"/>
    <w:rsid w:val="008866F2"/>
    <w:rsid w:val="00886AD9"/>
    <w:rsid w:val="00887C71"/>
    <w:rsid w:val="00887E56"/>
    <w:rsid w:val="0089078F"/>
    <w:rsid w:val="008940DA"/>
    <w:rsid w:val="008A2F2A"/>
    <w:rsid w:val="008A6072"/>
    <w:rsid w:val="008B38D9"/>
    <w:rsid w:val="008B6C6C"/>
    <w:rsid w:val="008B6EC4"/>
    <w:rsid w:val="008B7AD7"/>
    <w:rsid w:val="008C206D"/>
    <w:rsid w:val="008C5C02"/>
    <w:rsid w:val="008C5C55"/>
    <w:rsid w:val="008D036F"/>
    <w:rsid w:val="008D12BF"/>
    <w:rsid w:val="008D1BCA"/>
    <w:rsid w:val="008D2423"/>
    <w:rsid w:val="008D2DE8"/>
    <w:rsid w:val="008D578F"/>
    <w:rsid w:val="008E3AE5"/>
    <w:rsid w:val="008E7B1B"/>
    <w:rsid w:val="008E7BCA"/>
    <w:rsid w:val="008F193E"/>
    <w:rsid w:val="008F1B08"/>
    <w:rsid w:val="008F28AE"/>
    <w:rsid w:val="008F2F42"/>
    <w:rsid w:val="008F52FB"/>
    <w:rsid w:val="008F770B"/>
    <w:rsid w:val="00904AA1"/>
    <w:rsid w:val="00905405"/>
    <w:rsid w:val="0091092C"/>
    <w:rsid w:val="00910CE8"/>
    <w:rsid w:val="00911BD6"/>
    <w:rsid w:val="00911EA6"/>
    <w:rsid w:val="009122A5"/>
    <w:rsid w:val="009144D5"/>
    <w:rsid w:val="00914DB0"/>
    <w:rsid w:val="00915D0F"/>
    <w:rsid w:val="00917D90"/>
    <w:rsid w:val="00925A33"/>
    <w:rsid w:val="00926B56"/>
    <w:rsid w:val="00926C4B"/>
    <w:rsid w:val="0093007A"/>
    <w:rsid w:val="00933070"/>
    <w:rsid w:val="00933B0E"/>
    <w:rsid w:val="00935962"/>
    <w:rsid w:val="009431C0"/>
    <w:rsid w:val="009472DC"/>
    <w:rsid w:val="009478AE"/>
    <w:rsid w:val="00952E5D"/>
    <w:rsid w:val="009545DF"/>
    <w:rsid w:val="0095528A"/>
    <w:rsid w:val="00956600"/>
    <w:rsid w:val="0096142F"/>
    <w:rsid w:val="009624E3"/>
    <w:rsid w:val="00963152"/>
    <w:rsid w:val="009634A0"/>
    <w:rsid w:val="00964AA3"/>
    <w:rsid w:val="009654DB"/>
    <w:rsid w:val="0096780E"/>
    <w:rsid w:val="00974256"/>
    <w:rsid w:val="00982CE8"/>
    <w:rsid w:val="00982ED1"/>
    <w:rsid w:val="009846E1"/>
    <w:rsid w:val="00984E82"/>
    <w:rsid w:val="00984F93"/>
    <w:rsid w:val="009904EF"/>
    <w:rsid w:val="00992312"/>
    <w:rsid w:val="009935F6"/>
    <w:rsid w:val="00993D0F"/>
    <w:rsid w:val="00993FB5"/>
    <w:rsid w:val="00994B13"/>
    <w:rsid w:val="00995309"/>
    <w:rsid w:val="009A5523"/>
    <w:rsid w:val="009B0748"/>
    <w:rsid w:val="009B0BAF"/>
    <w:rsid w:val="009B1FAA"/>
    <w:rsid w:val="009B776A"/>
    <w:rsid w:val="009C1134"/>
    <w:rsid w:val="009C1260"/>
    <w:rsid w:val="009C2291"/>
    <w:rsid w:val="009C3352"/>
    <w:rsid w:val="009C7B25"/>
    <w:rsid w:val="009D026F"/>
    <w:rsid w:val="009D0860"/>
    <w:rsid w:val="009D2217"/>
    <w:rsid w:val="009D23FE"/>
    <w:rsid w:val="009D25BA"/>
    <w:rsid w:val="009D390C"/>
    <w:rsid w:val="009D7AB2"/>
    <w:rsid w:val="009E01E7"/>
    <w:rsid w:val="009E0A75"/>
    <w:rsid w:val="009E12DD"/>
    <w:rsid w:val="009E3401"/>
    <w:rsid w:val="009E3480"/>
    <w:rsid w:val="009E386A"/>
    <w:rsid w:val="009E3E81"/>
    <w:rsid w:val="009F26A3"/>
    <w:rsid w:val="009F2E25"/>
    <w:rsid w:val="009F479E"/>
    <w:rsid w:val="009F5599"/>
    <w:rsid w:val="009F5A76"/>
    <w:rsid w:val="009F5DF3"/>
    <w:rsid w:val="009F6443"/>
    <w:rsid w:val="009F792D"/>
    <w:rsid w:val="00A01956"/>
    <w:rsid w:val="00A03F71"/>
    <w:rsid w:val="00A04518"/>
    <w:rsid w:val="00A11609"/>
    <w:rsid w:val="00A12633"/>
    <w:rsid w:val="00A21661"/>
    <w:rsid w:val="00A21700"/>
    <w:rsid w:val="00A237CB"/>
    <w:rsid w:val="00A246DF"/>
    <w:rsid w:val="00A26322"/>
    <w:rsid w:val="00A26C94"/>
    <w:rsid w:val="00A30257"/>
    <w:rsid w:val="00A30D3F"/>
    <w:rsid w:val="00A31911"/>
    <w:rsid w:val="00A32164"/>
    <w:rsid w:val="00A32706"/>
    <w:rsid w:val="00A33E44"/>
    <w:rsid w:val="00A34B52"/>
    <w:rsid w:val="00A34BC9"/>
    <w:rsid w:val="00A355D0"/>
    <w:rsid w:val="00A40B44"/>
    <w:rsid w:val="00A44C99"/>
    <w:rsid w:val="00A46854"/>
    <w:rsid w:val="00A478FC"/>
    <w:rsid w:val="00A47B50"/>
    <w:rsid w:val="00A500BE"/>
    <w:rsid w:val="00A5110F"/>
    <w:rsid w:val="00A53DC7"/>
    <w:rsid w:val="00A54A56"/>
    <w:rsid w:val="00A551E1"/>
    <w:rsid w:val="00A55351"/>
    <w:rsid w:val="00A56261"/>
    <w:rsid w:val="00A5720B"/>
    <w:rsid w:val="00A6357A"/>
    <w:rsid w:val="00A649C4"/>
    <w:rsid w:val="00A70392"/>
    <w:rsid w:val="00A718BC"/>
    <w:rsid w:val="00A72929"/>
    <w:rsid w:val="00A76304"/>
    <w:rsid w:val="00A76B3C"/>
    <w:rsid w:val="00A76E98"/>
    <w:rsid w:val="00A816A4"/>
    <w:rsid w:val="00A84FCC"/>
    <w:rsid w:val="00A850B8"/>
    <w:rsid w:val="00A9396C"/>
    <w:rsid w:val="00A93D91"/>
    <w:rsid w:val="00A943FB"/>
    <w:rsid w:val="00A95690"/>
    <w:rsid w:val="00A95AAE"/>
    <w:rsid w:val="00A975CA"/>
    <w:rsid w:val="00AA0880"/>
    <w:rsid w:val="00AA0AB1"/>
    <w:rsid w:val="00AA1B74"/>
    <w:rsid w:val="00AA2155"/>
    <w:rsid w:val="00AA373E"/>
    <w:rsid w:val="00AA4ABC"/>
    <w:rsid w:val="00AB044E"/>
    <w:rsid w:val="00AB0CF4"/>
    <w:rsid w:val="00AB1235"/>
    <w:rsid w:val="00AB1D4E"/>
    <w:rsid w:val="00AB601D"/>
    <w:rsid w:val="00AB61A9"/>
    <w:rsid w:val="00AC1655"/>
    <w:rsid w:val="00AC295B"/>
    <w:rsid w:val="00AC3C62"/>
    <w:rsid w:val="00AC512A"/>
    <w:rsid w:val="00AC69BE"/>
    <w:rsid w:val="00AC6DF9"/>
    <w:rsid w:val="00AD045F"/>
    <w:rsid w:val="00AD0660"/>
    <w:rsid w:val="00AD2830"/>
    <w:rsid w:val="00AD295B"/>
    <w:rsid w:val="00AD30EE"/>
    <w:rsid w:val="00AD4BD2"/>
    <w:rsid w:val="00AD51ED"/>
    <w:rsid w:val="00AD7594"/>
    <w:rsid w:val="00AD7929"/>
    <w:rsid w:val="00AE0D4D"/>
    <w:rsid w:val="00AE0E08"/>
    <w:rsid w:val="00AE1B0A"/>
    <w:rsid w:val="00AE2F14"/>
    <w:rsid w:val="00AE3172"/>
    <w:rsid w:val="00AE4A21"/>
    <w:rsid w:val="00AE524C"/>
    <w:rsid w:val="00AE74F5"/>
    <w:rsid w:val="00AF04EE"/>
    <w:rsid w:val="00AF0FB4"/>
    <w:rsid w:val="00AF1072"/>
    <w:rsid w:val="00AF28DE"/>
    <w:rsid w:val="00AF3825"/>
    <w:rsid w:val="00AF5564"/>
    <w:rsid w:val="00AF5801"/>
    <w:rsid w:val="00AF5ABD"/>
    <w:rsid w:val="00B0093D"/>
    <w:rsid w:val="00B020CA"/>
    <w:rsid w:val="00B02852"/>
    <w:rsid w:val="00B031FF"/>
    <w:rsid w:val="00B03C23"/>
    <w:rsid w:val="00B10998"/>
    <w:rsid w:val="00B13A41"/>
    <w:rsid w:val="00B15ED5"/>
    <w:rsid w:val="00B2383A"/>
    <w:rsid w:val="00B244E8"/>
    <w:rsid w:val="00B26940"/>
    <w:rsid w:val="00B278DC"/>
    <w:rsid w:val="00B27E3C"/>
    <w:rsid w:val="00B32FF0"/>
    <w:rsid w:val="00B33B4D"/>
    <w:rsid w:val="00B35D93"/>
    <w:rsid w:val="00B35E1B"/>
    <w:rsid w:val="00B37B71"/>
    <w:rsid w:val="00B4016E"/>
    <w:rsid w:val="00B40811"/>
    <w:rsid w:val="00B409DD"/>
    <w:rsid w:val="00B44F89"/>
    <w:rsid w:val="00B46CE1"/>
    <w:rsid w:val="00B5103B"/>
    <w:rsid w:val="00B5249E"/>
    <w:rsid w:val="00B535EE"/>
    <w:rsid w:val="00B56EC4"/>
    <w:rsid w:val="00B57D9E"/>
    <w:rsid w:val="00B611DF"/>
    <w:rsid w:val="00B62D96"/>
    <w:rsid w:val="00B64B60"/>
    <w:rsid w:val="00B65638"/>
    <w:rsid w:val="00B66FCC"/>
    <w:rsid w:val="00B67B9F"/>
    <w:rsid w:val="00B704B3"/>
    <w:rsid w:val="00B70927"/>
    <w:rsid w:val="00B7119A"/>
    <w:rsid w:val="00B749B9"/>
    <w:rsid w:val="00B74FDD"/>
    <w:rsid w:val="00B75305"/>
    <w:rsid w:val="00B755A4"/>
    <w:rsid w:val="00B77B3F"/>
    <w:rsid w:val="00B849B7"/>
    <w:rsid w:val="00B86A7B"/>
    <w:rsid w:val="00B8791F"/>
    <w:rsid w:val="00B94417"/>
    <w:rsid w:val="00B94590"/>
    <w:rsid w:val="00B95B39"/>
    <w:rsid w:val="00B95D42"/>
    <w:rsid w:val="00BA0541"/>
    <w:rsid w:val="00BA1028"/>
    <w:rsid w:val="00BA1841"/>
    <w:rsid w:val="00BA1E4C"/>
    <w:rsid w:val="00BA3A1B"/>
    <w:rsid w:val="00BA5393"/>
    <w:rsid w:val="00BA595E"/>
    <w:rsid w:val="00BA5C7F"/>
    <w:rsid w:val="00BA63F1"/>
    <w:rsid w:val="00BB0A43"/>
    <w:rsid w:val="00BB0D1C"/>
    <w:rsid w:val="00BB24C7"/>
    <w:rsid w:val="00BC0461"/>
    <w:rsid w:val="00BC1C9E"/>
    <w:rsid w:val="00BC1F7C"/>
    <w:rsid w:val="00BC2ACC"/>
    <w:rsid w:val="00BC3C41"/>
    <w:rsid w:val="00BC51E3"/>
    <w:rsid w:val="00BC5DDC"/>
    <w:rsid w:val="00BC754A"/>
    <w:rsid w:val="00BC7CF7"/>
    <w:rsid w:val="00BC7E3C"/>
    <w:rsid w:val="00BD0965"/>
    <w:rsid w:val="00BD123C"/>
    <w:rsid w:val="00BD209A"/>
    <w:rsid w:val="00BD3C3C"/>
    <w:rsid w:val="00BD4EE5"/>
    <w:rsid w:val="00BD51F1"/>
    <w:rsid w:val="00BD5E31"/>
    <w:rsid w:val="00BD626B"/>
    <w:rsid w:val="00BD6760"/>
    <w:rsid w:val="00BD7044"/>
    <w:rsid w:val="00BD7A3E"/>
    <w:rsid w:val="00BE18E2"/>
    <w:rsid w:val="00BE2F1A"/>
    <w:rsid w:val="00BE3371"/>
    <w:rsid w:val="00BE4CBB"/>
    <w:rsid w:val="00BE4F18"/>
    <w:rsid w:val="00BE4F5F"/>
    <w:rsid w:val="00BE5869"/>
    <w:rsid w:val="00BE6A86"/>
    <w:rsid w:val="00BF17FB"/>
    <w:rsid w:val="00BF2415"/>
    <w:rsid w:val="00BF24AA"/>
    <w:rsid w:val="00BF2CD3"/>
    <w:rsid w:val="00BF2DFE"/>
    <w:rsid w:val="00BF342E"/>
    <w:rsid w:val="00BF5510"/>
    <w:rsid w:val="00C00F86"/>
    <w:rsid w:val="00C03050"/>
    <w:rsid w:val="00C03870"/>
    <w:rsid w:val="00C044E6"/>
    <w:rsid w:val="00C050FA"/>
    <w:rsid w:val="00C128DB"/>
    <w:rsid w:val="00C12D4D"/>
    <w:rsid w:val="00C145F8"/>
    <w:rsid w:val="00C1644E"/>
    <w:rsid w:val="00C16BAC"/>
    <w:rsid w:val="00C170CB"/>
    <w:rsid w:val="00C202D5"/>
    <w:rsid w:val="00C206C9"/>
    <w:rsid w:val="00C211D2"/>
    <w:rsid w:val="00C2145B"/>
    <w:rsid w:val="00C22399"/>
    <w:rsid w:val="00C240D4"/>
    <w:rsid w:val="00C32039"/>
    <w:rsid w:val="00C36CCD"/>
    <w:rsid w:val="00C375A1"/>
    <w:rsid w:val="00C47C4A"/>
    <w:rsid w:val="00C54046"/>
    <w:rsid w:val="00C54078"/>
    <w:rsid w:val="00C54137"/>
    <w:rsid w:val="00C5731B"/>
    <w:rsid w:val="00C6243C"/>
    <w:rsid w:val="00C64F5D"/>
    <w:rsid w:val="00C66DC8"/>
    <w:rsid w:val="00C73724"/>
    <w:rsid w:val="00C748C0"/>
    <w:rsid w:val="00C759DF"/>
    <w:rsid w:val="00C77019"/>
    <w:rsid w:val="00C82B8F"/>
    <w:rsid w:val="00C842B3"/>
    <w:rsid w:val="00C843CB"/>
    <w:rsid w:val="00C84B94"/>
    <w:rsid w:val="00C8788A"/>
    <w:rsid w:val="00C9064F"/>
    <w:rsid w:val="00C91701"/>
    <w:rsid w:val="00C95D5F"/>
    <w:rsid w:val="00C973E7"/>
    <w:rsid w:val="00CA196D"/>
    <w:rsid w:val="00CA31AD"/>
    <w:rsid w:val="00CA3B30"/>
    <w:rsid w:val="00CA418A"/>
    <w:rsid w:val="00CA452D"/>
    <w:rsid w:val="00CA6974"/>
    <w:rsid w:val="00CB2AFD"/>
    <w:rsid w:val="00CB32F8"/>
    <w:rsid w:val="00CB655F"/>
    <w:rsid w:val="00CB694A"/>
    <w:rsid w:val="00CB6EA8"/>
    <w:rsid w:val="00CC00F6"/>
    <w:rsid w:val="00CC1930"/>
    <w:rsid w:val="00CC329E"/>
    <w:rsid w:val="00CC38ED"/>
    <w:rsid w:val="00CC6250"/>
    <w:rsid w:val="00CC7603"/>
    <w:rsid w:val="00CC7C95"/>
    <w:rsid w:val="00CD11D5"/>
    <w:rsid w:val="00CD7154"/>
    <w:rsid w:val="00CE0E7C"/>
    <w:rsid w:val="00CE1167"/>
    <w:rsid w:val="00CE2892"/>
    <w:rsid w:val="00CE4FAD"/>
    <w:rsid w:val="00CF136D"/>
    <w:rsid w:val="00CF203C"/>
    <w:rsid w:val="00CF476E"/>
    <w:rsid w:val="00CF4A47"/>
    <w:rsid w:val="00CF5E5C"/>
    <w:rsid w:val="00CF5E8A"/>
    <w:rsid w:val="00D00CA1"/>
    <w:rsid w:val="00D05872"/>
    <w:rsid w:val="00D06244"/>
    <w:rsid w:val="00D06E05"/>
    <w:rsid w:val="00D11FCF"/>
    <w:rsid w:val="00D139B1"/>
    <w:rsid w:val="00D14F6D"/>
    <w:rsid w:val="00D16603"/>
    <w:rsid w:val="00D168C7"/>
    <w:rsid w:val="00D16AA8"/>
    <w:rsid w:val="00D16B4C"/>
    <w:rsid w:val="00D211FC"/>
    <w:rsid w:val="00D21BC1"/>
    <w:rsid w:val="00D23B5F"/>
    <w:rsid w:val="00D24675"/>
    <w:rsid w:val="00D30FD7"/>
    <w:rsid w:val="00D32810"/>
    <w:rsid w:val="00D34649"/>
    <w:rsid w:val="00D34EF4"/>
    <w:rsid w:val="00D353EE"/>
    <w:rsid w:val="00D3670F"/>
    <w:rsid w:val="00D40BB5"/>
    <w:rsid w:val="00D414A2"/>
    <w:rsid w:val="00D426BD"/>
    <w:rsid w:val="00D44C2E"/>
    <w:rsid w:val="00D508C7"/>
    <w:rsid w:val="00D53390"/>
    <w:rsid w:val="00D56EA7"/>
    <w:rsid w:val="00D61D05"/>
    <w:rsid w:val="00D62435"/>
    <w:rsid w:val="00D62D36"/>
    <w:rsid w:val="00D63711"/>
    <w:rsid w:val="00D64019"/>
    <w:rsid w:val="00D70B88"/>
    <w:rsid w:val="00D73935"/>
    <w:rsid w:val="00D739C6"/>
    <w:rsid w:val="00D7430A"/>
    <w:rsid w:val="00D74855"/>
    <w:rsid w:val="00D74CED"/>
    <w:rsid w:val="00D750DA"/>
    <w:rsid w:val="00D75E15"/>
    <w:rsid w:val="00D76614"/>
    <w:rsid w:val="00D80BCD"/>
    <w:rsid w:val="00D81C5F"/>
    <w:rsid w:val="00D841B5"/>
    <w:rsid w:val="00D8555A"/>
    <w:rsid w:val="00D86071"/>
    <w:rsid w:val="00D87960"/>
    <w:rsid w:val="00D911E2"/>
    <w:rsid w:val="00D925B8"/>
    <w:rsid w:val="00D956B9"/>
    <w:rsid w:val="00D97834"/>
    <w:rsid w:val="00DA17C5"/>
    <w:rsid w:val="00DA1C62"/>
    <w:rsid w:val="00DA2CE6"/>
    <w:rsid w:val="00DA4BA2"/>
    <w:rsid w:val="00DB070C"/>
    <w:rsid w:val="00DB0903"/>
    <w:rsid w:val="00DB3D91"/>
    <w:rsid w:val="00DB4611"/>
    <w:rsid w:val="00DB518B"/>
    <w:rsid w:val="00DB5431"/>
    <w:rsid w:val="00DB655B"/>
    <w:rsid w:val="00DB6ADB"/>
    <w:rsid w:val="00DB7150"/>
    <w:rsid w:val="00DC14D1"/>
    <w:rsid w:val="00DC219D"/>
    <w:rsid w:val="00DC2983"/>
    <w:rsid w:val="00DC32B9"/>
    <w:rsid w:val="00DC5DE9"/>
    <w:rsid w:val="00DC6651"/>
    <w:rsid w:val="00DC76CF"/>
    <w:rsid w:val="00DC7816"/>
    <w:rsid w:val="00DD1EE7"/>
    <w:rsid w:val="00DE0285"/>
    <w:rsid w:val="00DE25C2"/>
    <w:rsid w:val="00DE3AF2"/>
    <w:rsid w:val="00DE3B52"/>
    <w:rsid w:val="00DE4169"/>
    <w:rsid w:val="00DE5F20"/>
    <w:rsid w:val="00DE7DFC"/>
    <w:rsid w:val="00DF14EC"/>
    <w:rsid w:val="00DF2E97"/>
    <w:rsid w:val="00DF3EF5"/>
    <w:rsid w:val="00E00958"/>
    <w:rsid w:val="00E064DA"/>
    <w:rsid w:val="00E069FC"/>
    <w:rsid w:val="00E10096"/>
    <w:rsid w:val="00E11856"/>
    <w:rsid w:val="00E12D1E"/>
    <w:rsid w:val="00E12E29"/>
    <w:rsid w:val="00E13258"/>
    <w:rsid w:val="00E1430B"/>
    <w:rsid w:val="00E15493"/>
    <w:rsid w:val="00E155AF"/>
    <w:rsid w:val="00E21956"/>
    <w:rsid w:val="00E233AC"/>
    <w:rsid w:val="00E26A4D"/>
    <w:rsid w:val="00E27052"/>
    <w:rsid w:val="00E27922"/>
    <w:rsid w:val="00E30AE9"/>
    <w:rsid w:val="00E31631"/>
    <w:rsid w:val="00E3189E"/>
    <w:rsid w:val="00E3256D"/>
    <w:rsid w:val="00E33310"/>
    <w:rsid w:val="00E35156"/>
    <w:rsid w:val="00E3626B"/>
    <w:rsid w:val="00E40C5D"/>
    <w:rsid w:val="00E41D70"/>
    <w:rsid w:val="00E439A0"/>
    <w:rsid w:val="00E44378"/>
    <w:rsid w:val="00E443BA"/>
    <w:rsid w:val="00E46942"/>
    <w:rsid w:val="00E50145"/>
    <w:rsid w:val="00E5262C"/>
    <w:rsid w:val="00E527BC"/>
    <w:rsid w:val="00E530B9"/>
    <w:rsid w:val="00E54E2B"/>
    <w:rsid w:val="00E57705"/>
    <w:rsid w:val="00E6480D"/>
    <w:rsid w:val="00E64B92"/>
    <w:rsid w:val="00E65009"/>
    <w:rsid w:val="00E70F6E"/>
    <w:rsid w:val="00E714F0"/>
    <w:rsid w:val="00E71876"/>
    <w:rsid w:val="00E72AD3"/>
    <w:rsid w:val="00E73361"/>
    <w:rsid w:val="00E74F82"/>
    <w:rsid w:val="00E75316"/>
    <w:rsid w:val="00E76B4A"/>
    <w:rsid w:val="00E80CB9"/>
    <w:rsid w:val="00E82B95"/>
    <w:rsid w:val="00E860A7"/>
    <w:rsid w:val="00E87C68"/>
    <w:rsid w:val="00E90A88"/>
    <w:rsid w:val="00E90CAA"/>
    <w:rsid w:val="00E90DF6"/>
    <w:rsid w:val="00E93510"/>
    <w:rsid w:val="00E93BAA"/>
    <w:rsid w:val="00E95E02"/>
    <w:rsid w:val="00E97356"/>
    <w:rsid w:val="00EA5910"/>
    <w:rsid w:val="00EB161A"/>
    <w:rsid w:val="00EB2B55"/>
    <w:rsid w:val="00EB319D"/>
    <w:rsid w:val="00EB3417"/>
    <w:rsid w:val="00EB685F"/>
    <w:rsid w:val="00EB6EFA"/>
    <w:rsid w:val="00EC0848"/>
    <w:rsid w:val="00EC19FE"/>
    <w:rsid w:val="00EC367C"/>
    <w:rsid w:val="00EC4B91"/>
    <w:rsid w:val="00EC4F39"/>
    <w:rsid w:val="00ED0D14"/>
    <w:rsid w:val="00ED437C"/>
    <w:rsid w:val="00ED4606"/>
    <w:rsid w:val="00EE1B10"/>
    <w:rsid w:val="00EE2D15"/>
    <w:rsid w:val="00EE3B23"/>
    <w:rsid w:val="00EE4A72"/>
    <w:rsid w:val="00EF6D05"/>
    <w:rsid w:val="00F003B3"/>
    <w:rsid w:val="00F01C79"/>
    <w:rsid w:val="00F02279"/>
    <w:rsid w:val="00F0329C"/>
    <w:rsid w:val="00F033F4"/>
    <w:rsid w:val="00F03E29"/>
    <w:rsid w:val="00F0455B"/>
    <w:rsid w:val="00F05E84"/>
    <w:rsid w:val="00F06C6C"/>
    <w:rsid w:val="00F071FC"/>
    <w:rsid w:val="00F11FF5"/>
    <w:rsid w:val="00F126AF"/>
    <w:rsid w:val="00F14988"/>
    <w:rsid w:val="00F2160F"/>
    <w:rsid w:val="00F217F6"/>
    <w:rsid w:val="00F230A3"/>
    <w:rsid w:val="00F23349"/>
    <w:rsid w:val="00F239B7"/>
    <w:rsid w:val="00F242E1"/>
    <w:rsid w:val="00F24B57"/>
    <w:rsid w:val="00F26437"/>
    <w:rsid w:val="00F30813"/>
    <w:rsid w:val="00F31558"/>
    <w:rsid w:val="00F31820"/>
    <w:rsid w:val="00F32E4B"/>
    <w:rsid w:val="00F35943"/>
    <w:rsid w:val="00F41496"/>
    <w:rsid w:val="00F41FE4"/>
    <w:rsid w:val="00F4299C"/>
    <w:rsid w:val="00F46060"/>
    <w:rsid w:val="00F474A2"/>
    <w:rsid w:val="00F47864"/>
    <w:rsid w:val="00F579D0"/>
    <w:rsid w:val="00F613AF"/>
    <w:rsid w:val="00F63B43"/>
    <w:rsid w:val="00F6411C"/>
    <w:rsid w:val="00F64246"/>
    <w:rsid w:val="00F67081"/>
    <w:rsid w:val="00F677B0"/>
    <w:rsid w:val="00F72757"/>
    <w:rsid w:val="00F74414"/>
    <w:rsid w:val="00F7457B"/>
    <w:rsid w:val="00F80203"/>
    <w:rsid w:val="00F852A1"/>
    <w:rsid w:val="00F868BD"/>
    <w:rsid w:val="00F87B1C"/>
    <w:rsid w:val="00F87E04"/>
    <w:rsid w:val="00F94A21"/>
    <w:rsid w:val="00F95073"/>
    <w:rsid w:val="00F951B6"/>
    <w:rsid w:val="00FA1095"/>
    <w:rsid w:val="00FA2503"/>
    <w:rsid w:val="00FA25CF"/>
    <w:rsid w:val="00FA287E"/>
    <w:rsid w:val="00FA307D"/>
    <w:rsid w:val="00FA3730"/>
    <w:rsid w:val="00FB0942"/>
    <w:rsid w:val="00FB3269"/>
    <w:rsid w:val="00FB38B3"/>
    <w:rsid w:val="00FB409C"/>
    <w:rsid w:val="00FB49CB"/>
    <w:rsid w:val="00FB53E9"/>
    <w:rsid w:val="00FB5BD7"/>
    <w:rsid w:val="00FB625D"/>
    <w:rsid w:val="00FC20A2"/>
    <w:rsid w:val="00FC3065"/>
    <w:rsid w:val="00FC4563"/>
    <w:rsid w:val="00FC70A4"/>
    <w:rsid w:val="00FC7950"/>
    <w:rsid w:val="00FC7F9C"/>
    <w:rsid w:val="00FD0070"/>
    <w:rsid w:val="00FD0EE0"/>
    <w:rsid w:val="00FD1978"/>
    <w:rsid w:val="00FD375A"/>
    <w:rsid w:val="00FD517D"/>
    <w:rsid w:val="00FD5377"/>
    <w:rsid w:val="00FE0517"/>
    <w:rsid w:val="00FE140B"/>
    <w:rsid w:val="00FE188C"/>
    <w:rsid w:val="00FE18BA"/>
    <w:rsid w:val="00FE718E"/>
    <w:rsid w:val="00FF054B"/>
    <w:rsid w:val="00FF1407"/>
    <w:rsid w:val="00FF3298"/>
    <w:rsid w:val="02A5487A"/>
    <w:rsid w:val="02C839B4"/>
    <w:rsid w:val="02E62FD5"/>
    <w:rsid w:val="03387581"/>
    <w:rsid w:val="040F6906"/>
    <w:rsid w:val="0470642D"/>
    <w:rsid w:val="049F168E"/>
    <w:rsid w:val="05D62D27"/>
    <w:rsid w:val="05F269A4"/>
    <w:rsid w:val="05F90EDA"/>
    <w:rsid w:val="067800F1"/>
    <w:rsid w:val="07376794"/>
    <w:rsid w:val="08276F50"/>
    <w:rsid w:val="08933094"/>
    <w:rsid w:val="0D6642CD"/>
    <w:rsid w:val="0ED44C30"/>
    <w:rsid w:val="100A3DB3"/>
    <w:rsid w:val="12843C71"/>
    <w:rsid w:val="12F42EFC"/>
    <w:rsid w:val="133724E3"/>
    <w:rsid w:val="13AD30E6"/>
    <w:rsid w:val="13C852F4"/>
    <w:rsid w:val="13D6515C"/>
    <w:rsid w:val="147300B2"/>
    <w:rsid w:val="164666A6"/>
    <w:rsid w:val="16847ED4"/>
    <w:rsid w:val="17233352"/>
    <w:rsid w:val="173D07B3"/>
    <w:rsid w:val="17742299"/>
    <w:rsid w:val="1915022F"/>
    <w:rsid w:val="1AA9670C"/>
    <w:rsid w:val="1C520946"/>
    <w:rsid w:val="1CDF6673"/>
    <w:rsid w:val="1D561482"/>
    <w:rsid w:val="1E827BFE"/>
    <w:rsid w:val="22327245"/>
    <w:rsid w:val="226C0C8A"/>
    <w:rsid w:val="24F1163A"/>
    <w:rsid w:val="2563616B"/>
    <w:rsid w:val="261A4BC0"/>
    <w:rsid w:val="26832765"/>
    <w:rsid w:val="27A44741"/>
    <w:rsid w:val="287E4498"/>
    <w:rsid w:val="2B0D6AA1"/>
    <w:rsid w:val="2B855C5C"/>
    <w:rsid w:val="2C7544FA"/>
    <w:rsid w:val="2E1455BD"/>
    <w:rsid w:val="2F403370"/>
    <w:rsid w:val="2F5E22F1"/>
    <w:rsid w:val="30A87D63"/>
    <w:rsid w:val="31834792"/>
    <w:rsid w:val="332E1CAB"/>
    <w:rsid w:val="3378488A"/>
    <w:rsid w:val="33B80742"/>
    <w:rsid w:val="35B61992"/>
    <w:rsid w:val="38C179B9"/>
    <w:rsid w:val="38D03BC7"/>
    <w:rsid w:val="390144E1"/>
    <w:rsid w:val="391D25A6"/>
    <w:rsid w:val="39912B88"/>
    <w:rsid w:val="39930ABA"/>
    <w:rsid w:val="3A155772"/>
    <w:rsid w:val="3BED44B1"/>
    <w:rsid w:val="3C964F48"/>
    <w:rsid w:val="3DA962B7"/>
    <w:rsid w:val="3EBA1200"/>
    <w:rsid w:val="3EF47706"/>
    <w:rsid w:val="42986444"/>
    <w:rsid w:val="43336BD6"/>
    <w:rsid w:val="46AD4404"/>
    <w:rsid w:val="47776412"/>
    <w:rsid w:val="4A2B257C"/>
    <w:rsid w:val="4B045373"/>
    <w:rsid w:val="4EF714A2"/>
    <w:rsid w:val="4F3D0E54"/>
    <w:rsid w:val="52C35B14"/>
    <w:rsid w:val="54827438"/>
    <w:rsid w:val="54C77B24"/>
    <w:rsid w:val="56071976"/>
    <w:rsid w:val="566D4B9D"/>
    <w:rsid w:val="56CB3A71"/>
    <w:rsid w:val="56D33506"/>
    <w:rsid w:val="57030AF9"/>
    <w:rsid w:val="57232214"/>
    <w:rsid w:val="5954462F"/>
    <w:rsid w:val="5A272E2C"/>
    <w:rsid w:val="5C367F1C"/>
    <w:rsid w:val="5E700261"/>
    <w:rsid w:val="5F107B83"/>
    <w:rsid w:val="5F2922AC"/>
    <w:rsid w:val="5F41229A"/>
    <w:rsid w:val="60986B6C"/>
    <w:rsid w:val="61F9663C"/>
    <w:rsid w:val="64043E49"/>
    <w:rsid w:val="642C78E7"/>
    <w:rsid w:val="6439450F"/>
    <w:rsid w:val="653F727C"/>
    <w:rsid w:val="663E0A1F"/>
    <w:rsid w:val="664803B2"/>
    <w:rsid w:val="66F22480"/>
    <w:rsid w:val="67550FD9"/>
    <w:rsid w:val="67965BC8"/>
    <w:rsid w:val="69392234"/>
    <w:rsid w:val="693B6FA6"/>
    <w:rsid w:val="6A9263B8"/>
    <w:rsid w:val="6B361121"/>
    <w:rsid w:val="6BD35A86"/>
    <w:rsid w:val="6D3B7197"/>
    <w:rsid w:val="6DF77B63"/>
    <w:rsid w:val="6E943FBB"/>
    <w:rsid w:val="6ED35FAA"/>
    <w:rsid w:val="6F667AFB"/>
    <w:rsid w:val="6F866004"/>
    <w:rsid w:val="6F9F1BB3"/>
    <w:rsid w:val="72C139C6"/>
    <w:rsid w:val="72D65D2C"/>
    <w:rsid w:val="737B7C23"/>
    <w:rsid w:val="73851E0A"/>
    <w:rsid w:val="739C2556"/>
    <w:rsid w:val="73AC2F70"/>
    <w:rsid w:val="73C24541"/>
    <w:rsid w:val="75B93A72"/>
    <w:rsid w:val="771479EA"/>
    <w:rsid w:val="7A7A6480"/>
    <w:rsid w:val="7AEA551E"/>
    <w:rsid w:val="7C083020"/>
    <w:rsid w:val="7CA051DF"/>
    <w:rsid w:val="7D07755B"/>
    <w:rsid w:val="7D9D0EA9"/>
    <w:rsid w:val="7E1A5EFF"/>
    <w:rsid w:val="7EA85A3A"/>
    <w:rsid w:val="7F2A3771"/>
    <w:rsid w:val="7F97027D"/>
    <w:rsid w:val="7FD623DC"/>
    <w:rsid w:val="8E9BC18A"/>
    <w:rsid w:val="EFF910CD"/>
    <w:rsid w:val="FEFF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8"/>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5"/>
    <w:basedOn w:val="1"/>
    <w:next w:val="1"/>
    <w:link w:val="37"/>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link w:val="24"/>
    <w:unhideWhenUsed/>
    <w:qFormat/>
    <w:uiPriority w:val="0"/>
    <w:pPr>
      <w:widowControl/>
      <w:jc w:val="center"/>
    </w:pPr>
    <w:rPr>
      <w:szCs w:val="20"/>
    </w:rPr>
  </w:style>
  <w:style w:type="paragraph" w:styleId="7">
    <w:name w:val="annotation text"/>
    <w:basedOn w:val="1"/>
    <w:link w:val="32"/>
    <w:unhideWhenUsed/>
    <w:qFormat/>
    <w:uiPriority w:val="0"/>
    <w:pPr>
      <w:widowControl/>
    </w:pPr>
    <w:rPr>
      <w:szCs w:val="20"/>
    </w:rPr>
  </w:style>
  <w:style w:type="paragraph" w:styleId="8">
    <w:name w:val="Body Text"/>
    <w:basedOn w:val="1"/>
    <w:link w:val="34"/>
    <w:qFormat/>
    <w:uiPriority w:val="0"/>
    <w:pPr>
      <w:jc w:val="center"/>
    </w:pPr>
    <w:rPr>
      <w:b/>
      <w:bCs/>
      <w:sz w:val="36"/>
    </w:rPr>
  </w:style>
  <w:style w:type="paragraph" w:styleId="9">
    <w:name w:val="Date"/>
    <w:basedOn w:val="1"/>
    <w:next w:val="1"/>
    <w:link w:val="26"/>
    <w:qFormat/>
    <w:uiPriority w:val="0"/>
    <w:pPr>
      <w:ind w:left="100" w:leftChars="2500"/>
    </w:pPr>
  </w:style>
  <w:style w:type="paragraph" w:styleId="10">
    <w:name w:val="Balloon Text"/>
    <w:basedOn w:val="1"/>
    <w:link w:val="35"/>
    <w:semiHidden/>
    <w:qFormat/>
    <w:uiPriority w:val="0"/>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6"/>
    <w:unhideWhenUsed/>
    <w:qFormat/>
    <w:uiPriority w:val="0"/>
    <w:pPr>
      <w:widowControl/>
      <w:tabs>
        <w:tab w:val="right" w:leader="dot" w:pos="8296"/>
      </w:tabs>
      <w:ind w:left="420" w:leftChars="200"/>
      <w:jc w:val="center"/>
    </w:pPr>
    <w:rPr>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qFormat/>
    <w:uiPriority w:val="0"/>
    <w:rPr>
      <w:rFonts w:cs="Times New Roman"/>
    </w:rPr>
  </w:style>
  <w:style w:type="character" w:styleId="20">
    <w:name w:val="Hyperlink"/>
    <w:qFormat/>
    <w:uiPriority w:val="0"/>
    <w:rPr>
      <w:rFonts w:cs="Times New Roman"/>
      <w:color w:val="000000"/>
      <w:u w:val="none"/>
    </w:rPr>
  </w:style>
  <w:style w:type="character" w:customStyle="1" w:styleId="21">
    <w:name w:val="p0 Char Char"/>
    <w:link w:val="22"/>
    <w:qFormat/>
    <w:locked/>
    <w:uiPriority w:val="0"/>
    <w:rPr>
      <w:rFonts w:ascii="Verdana" w:hAnsi="Verdana" w:eastAsia="宋体" w:cs="宋体"/>
      <w:color w:val="000000"/>
      <w:sz w:val="21"/>
      <w:szCs w:val="21"/>
      <w:lang w:val="en-US" w:eastAsia="zh-CN" w:bidi="ar-SA"/>
    </w:rPr>
  </w:style>
  <w:style w:type="paragraph" w:customStyle="1" w:styleId="22">
    <w:name w:val="p0"/>
    <w:basedOn w:val="1"/>
    <w:link w:val="21"/>
    <w:qFormat/>
    <w:uiPriority w:val="0"/>
    <w:pPr>
      <w:widowControl/>
      <w:spacing w:before="100" w:beforeAutospacing="1" w:after="100" w:afterAutospacing="1"/>
      <w:jc w:val="left"/>
    </w:pPr>
    <w:rPr>
      <w:rFonts w:ascii="Verdana" w:hAnsi="Verdana" w:cs="宋体"/>
      <w:color w:val="000000"/>
      <w:kern w:val="0"/>
      <w:szCs w:val="21"/>
    </w:rPr>
  </w:style>
  <w:style w:type="character" w:customStyle="1" w:styleId="23">
    <w:name w:val="页脚 Char"/>
    <w:link w:val="11"/>
    <w:qFormat/>
    <w:locked/>
    <w:uiPriority w:val="99"/>
    <w:rPr>
      <w:rFonts w:eastAsia="宋体"/>
      <w:kern w:val="2"/>
      <w:sz w:val="18"/>
      <w:szCs w:val="18"/>
      <w:lang w:val="en-US" w:eastAsia="zh-CN" w:bidi="ar-SA"/>
    </w:rPr>
  </w:style>
  <w:style w:type="character" w:customStyle="1" w:styleId="24">
    <w:name w:val="注释标题 Char"/>
    <w:link w:val="6"/>
    <w:qFormat/>
    <w:uiPriority w:val="0"/>
    <w:rPr>
      <w:kern w:val="2"/>
      <w:sz w:val="21"/>
    </w:rPr>
  </w:style>
  <w:style w:type="character" w:customStyle="1" w:styleId="25">
    <w:name w:val="标题 3 Char"/>
    <w:link w:val="4"/>
    <w:qFormat/>
    <w:uiPriority w:val="0"/>
    <w:rPr>
      <w:b/>
      <w:bCs/>
      <w:kern w:val="2"/>
      <w:sz w:val="32"/>
      <w:szCs w:val="32"/>
    </w:rPr>
  </w:style>
  <w:style w:type="character" w:customStyle="1" w:styleId="26">
    <w:name w:val="日期 Char"/>
    <w:link w:val="9"/>
    <w:qFormat/>
    <w:uiPriority w:val="0"/>
    <w:rPr>
      <w:kern w:val="2"/>
      <w:sz w:val="21"/>
      <w:szCs w:val="24"/>
    </w:rPr>
  </w:style>
  <w:style w:type="character" w:customStyle="1" w:styleId="27">
    <w:name w:val="批注框文本 Char Char Char"/>
    <w:qFormat/>
    <w:uiPriority w:val="0"/>
    <w:rPr>
      <w:kern w:val="2"/>
      <w:sz w:val="18"/>
      <w:szCs w:val="18"/>
    </w:rPr>
  </w:style>
  <w:style w:type="character" w:customStyle="1" w:styleId="28">
    <w:name w:val="标题 2 Char"/>
    <w:link w:val="3"/>
    <w:qFormat/>
    <w:uiPriority w:val="0"/>
    <w:rPr>
      <w:rFonts w:ascii="宋体" w:hAnsi="宋体" w:cs="宋体"/>
      <w:b/>
      <w:bCs/>
      <w:sz w:val="36"/>
      <w:szCs w:val="36"/>
    </w:rPr>
  </w:style>
  <w:style w:type="character" w:customStyle="1" w:styleId="29">
    <w:name w:val="页眉 Char"/>
    <w:link w:val="12"/>
    <w:qFormat/>
    <w:locked/>
    <w:uiPriority w:val="0"/>
    <w:rPr>
      <w:rFonts w:eastAsia="宋体"/>
      <w:kern w:val="2"/>
      <w:sz w:val="18"/>
      <w:szCs w:val="18"/>
      <w:lang w:val="en-US" w:eastAsia="zh-CN" w:bidi="ar-SA"/>
    </w:rPr>
  </w:style>
  <w:style w:type="character" w:customStyle="1" w:styleId="30">
    <w:name w:val="apple-converted-space"/>
    <w:qFormat/>
    <w:uiPriority w:val="0"/>
  </w:style>
  <w:style w:type="character" w:customStyle="1" w:styleId="31">
    <w:name w:val="Char Char"/>
    <w:qFormat/>
    <w:uiPriority w:val="0"/>
    <w:rPr>
      <w:kern w:val="2"/>
      <w:sz w:val="18"/>
    </w:rPr>
  </w:style>
  <w:style w:type="character" w:customStyle="1" w:styleId="32">
    <w:name w:val="批注文字 Char"/>
    <w:link w:val="7"/>
    <w:qFormat/>
    <w:uiPriority w:val="0"/>
    <w:rPr>
      <w:kern w:val="2"/>
      <w:sz w:val="21"/>
    </w:rPr>
  </w:style>
  <w:style w:type="character" w:customStyle="1" w:styleId="33">
    <w:name w:val="标题 1 Char"/>
    <w:link w:val="2"/>
    <w:qFormat/>
    <w:uiPriority w:val="0"/>
    <w:rPr>
      <w:rFonts w:ascii="宋体" w:hAnsi="宋体" w:cs="宋体"/>
      <w:b/>
      <w:bCs/>
      <w:kern w:val="36"/>
      <w:sz w:val="48"/>
      <w:szCs w:val="48"/>
    </w:rPr>
  </w:style>
  <w:style w:type="character" w:customStyle="1" w:styleId="34">
    <w:name w:val="正文文本 Char"/>
    <w:link w:val="8"/>
    <w:qFormat/>
    <w:uiPriority w:val="0"/>
    <w:rPr>
      <w:b/>
      <w:bCs/>
      <w:kern w:val="2"/>
      <w:sz w:val="36"/>
      <w:szCs w:val="24"/>
    </w:rPr>
  </w:style>
  <w:style w:type="character" w:customStyle="1" w:styleId="35">
    <w:name w:val="批注框文本 Char"/>
    <w:link w:val="10"/>
    <w:semiHidden/>
    <w:qFormat/>
    <w:uiPriority w:val="0"/>
    <w:rPr>
      <w:kern w:val="2"/>
      <w:sz w:val="18"/>
      <w:szCs w:val="18"/>
    </w:rPr>
  </w:style>
  <w:style w:type="character" w:customStyle="1" w:styleId="36">
    <w:name w:val="Char Char2"/>
    <w:qFormat/>
    <w:uiPriority w:val="0"/>
    <w:rPr>
      <w:rFonts w:eastAsia="宋体"/>
      <w:kern w:val="2"/>
      <w:sz w:val="18"/>
      <w:szCs w:val="18"/>
      <w:lang w:val="en-US" w:eastAsia="zh-CN" w:bidi="ar-SA"/>
    </w:rPr>
  </w:style>
  <w:style w:type="character" w:customStyle="1" w:styleId="37">
    <w:name w:val="标题 5 Char"/>
    <w:link w:val="5"/>
    <w:qFormat/>
    <w:uiPriority w:val="0"/>
    <w:rPr>
      <w:rFonts w:ascii="宋体" w:hAnsi="宋体" w:cs="宋体"/>
      <w:b/>
      <w:bCs/>
    </w:rPr>
  </w:style>
  <w:style w:type="character" w:customStyle="1" w:styleId="38">
    <w:name w:val="Char Char1"/>
    <w:qFormat/>
    <w:uiPriority w:val="0"/>
    <w:rPr>
      <w:rFonts w:eastAsia="宋体"/>
      <w:kern w:val="2"/>
      <w:sz w:val="18"/>
      <w:szCs w:val="18"/>
      <w:lang w:val="en-US" w:eastAsia="zh-CN" w:bidi="ar-SA"/>
    </w:rPr>
  </w:style>
  <w:style w:type="paragraph" w:customStyle="1" w:styleId="39">
    <w:name w:val="Char Char Char Char"/>
    <w:basedOn w:val="1"/>
    <w:qFormat/>
    <w:uiPriority w:val="0"/>
    <w:pPr>
      <w:widowControl/>
      <w:spacing w:after="160" w:line="240" w:lineRule="exact"/>
      <w:jc w:val="left"/>
    </w:pPr>
  </w:style>
  <w:style w:type="paragraph" w:customStyle="1" w:styleId="40">
    <w:name w:val="列出段落1"/>
    <w:basedOn w:val="1"/>
    <w:qFormat/>
    <w:uiPriority w:val="0"/>
    <w:pPr>
      <w:widowControl/>
      <w:ind w:firstLine="420" w:firstLineChars="200"/>
    </w:pPr>
    <w:rPr>
      <w:rFonts w:ascii="Calibri" w:hAnsi="Calibri" w:cs="黑体"/>
      <w:szCs w:val="22"/>
    </w:rPr>
  </w:style>
  <w:style w:type="paragraph" w:customStyle="1" w:styleId="41">
    <w:name w:val="默认段落字体 Para Char"/>
    <w:basedOn w:val="1"/>
    <w:qFormat/>
    <w:uiPriority w:val="0"/>
    <w:rPr>
      <w:sz w:val="24"/>
    </w:rPr>
  </w:style>
  <w:style w:type="paragraph" w:customStyle="1" w:styleId="42">
    <w:name w:val="p2"/>
    <w:basedOn w:val="1"/>
    <w:qFormat/>
    <w:uiPriority w:val="0"/>
    <w:pPr>
      <w:widowControl/>
      <w:suppressAutoHyphens/>
      <w:spacing w:before="280" w:after="280" w:line="600" w:lineRule="atLeast"/>
      <w:jc w:val="left"/>
    </w:pPr>
    <w:rPr>
      <w:rFonts w:ascii="仿宋_GB2312" w:hAnsi="仿宋_GB2312" w:eastAsia="仿宋_GB2312"/>
      <w:color w:val="000000"/>
      <w:kern w:val="1"/>
      <w:sz w:val="32"/>
      <w:szCs w:val="32"/>
      <w:lang w:eastAsia="ar-SA"/>
    </w:rPr>
  </w:style>
  <w:style w:type="paragraph" w:customStyle="1" w:styleId="43">
    <w:name w:val="普通(网站)1"/>
    <w:qFormat/>
    <w:uiPriority w:val="0"/>
    <w:pPr>
      <w:spacing w:before="100" w:after="100"/>
    </w:pPr>
    <w:rPr>
      <w:rFonts w:ascii="Lucida Grande" w:hAnsi="Lucida Grande" w:eastAsia="ヒラギノ角ゴ Pro W3" w:cs="Times New Roman"/>
      <w:color w:val="000000"/>
      <w:sz w:val="24"/>
      <w:lang w:val="en-US" w:eastAsia="zh-CN" w:bidi="ar-SA"/>
    </w:rPr>
  </w:style>
  <w:style w:type="paragraph" w:customStyle="1" w:styleId="44">
    <w:name w:val="Char"/>
    <w:basedOn w:val="1"/>
    <w:qFormat/>
    <w:uiPriority w:val="0"/>
    <w:rPr>
      <w:sz w:val="24"/>
    </w:rPr>
  </w:style>
  <w:style w:type="paragraph" w:customStyle="1" w:styleId="45">
    <w:name w:val="列出段落2"/>
    <w:basedOn w:val="1"/>
    <w:qFormat/>
    <w:uiPriority w:val="0"/>
    <w:pPr>
      <w:ind w:firstLine="420" w:firstLineChars="200"/>
    </w:pPr>
  </w:style>
  <w:style w:type="paragraph" w:customStyle="1" w:styleId="46">
    <w:name w:val="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7">
    <w:name w:val="Table Paragraph"/>
    <w:basedOn w:val="1"/>
    <w:unhideWhenUsed/>
    <w:qFormat/>
    <w:uiPriority w:val="0"/>
    <w:pPr>
      <w:widowControl/>
    </w:pPr>
    <w:rPr>
      <w:sz w:val="24"/>
      <w:szCs w:val="20"/>
    </w:rPr>
  </w:style>
  <w:style w:type="paragraph" w:customStyle="1" w:styleId="48">
    <w:name w:val="Char1"/>
    <w:basedOn w:val="1"/>
    <w:qFormat/>
    <w:uiPriority w:val="0"/>
    <w:pPr>
      <w:widowControl/>
      <w:adjustRightInd w:val="0"/>
      <w:spacing w:after="160" w:line="240" w:lineRule="exact"/>
      <w:jc w:val="left"/>
    </w:pPr>
    <w:rPr>
      <w:szCs w:val="20"/>
    </w:rPr>
  </w:style>
  <w:style w:type="paragraph" w:customStyle="1" w:styleId="49">
    <w:name w:val="标题 21"/>
    <w:basedOn w:val="1"/>
    <w:qFormat/>
    <w:uiPriority w:val="0"/>
    <w:pPr>
      <w:widowControl/>
      <w:ind w:left="284"/>
      <w:outlineLvl w:val="2"/>
    </w:pPr>
    <w:rPr>
      <w:rFonts w:ascii="宋体" w:hAnsi="宋体"/>
      <w:sz w:val="50"/>
      <w:szCs w:val="5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23</Pages>
  <Words>1535</Words>
  <Characters>8754</Characters>
  <Lines>72</Lines>
  <Paragraphs>20</Paragraphs>
  <TotalTime>1</TotalTime>
  <ScaleCrop>false</ScaleCrop>
  <LinksUpToDate>false</LinksUpToDate>
  <CharactersWithSpaces>10269</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2024-06-26T17:17:00Z</dcterms:created>
  <dc:creator>微软用户</dc:creator>
  <cp:lastModifiedBy>麻薯黍</cp:lastModifiedBy>
  <cp:lastPrinted>2024-06-26T15:53:00Z</cp:lastPrinted>
  <dcterms:modified xsi:type="dcterms:W3CDTF">2024-06-27T10:00:55Z</dcterms:modified>
  <dc:title>市经信委（国资委）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1FC838D6AB6541E68AA3656851764A8D_13</vt:lpwstr>
  </property>
</Properties>
</file>